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2A2DD51" w:rsidR="00E66558" w:rsidRDefault="00AB158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rsidRPr="00AB1588">
        <w:rPr>
          <w:sz w:val="32"/>
        </w:rPr>
        <w:t xml:space="preserve">Khalsa Primary School </w:t>
      </w:r>
      <w:r w:rsidR="009D71E8" w:rsidRPr="00AB1588">
        <w:rPr>
          <w:sz w:val="32"/>
        </w:rPr>
        <w:t>Pupil premium strategy</w:t>
      </w:r>
      <w:r w:rsidR="009D71E8" w:rsidRPr="00AB1588">
        <w:rPr>
          <w:sz w:val="24"/>
        </w:rPr>
        <w:t xml:space="preserve"> </w:t>
      </w:r>
      <w:r w:rsidR="009D71E8" w:rsidRPr="00AB1588">
        <w:rPr>
          <w:sz w:val="32"/>
        </w:rPr>
        <w:t>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1839BEF3"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67139FFC" w14:textId="77777777" w:rsidR="00E1772B" w:rsidRDefault="009D71E8" w:rsidP="00E1772B">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2E9D640A" w:rsidR="00E66558" w:rsidRPr="00E1772B" w:rsidRDefault="009D71E8" w:rsidP="00E1772B">
      <w:pPr>
        <w:pStyle w:val="Heading2"/>
        <w:spacing w:before="240"/>
        <w:rPr>
          <w:b w:val="0"/>
          <w:bCs/>
          <w:color w:val="auto"/>
          <w:sz w:val="24"/>
          <w:szCs w:val="24"/>
        </w:rPr>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B98883B" w:rsidR="00E66558" w:rsidRDefault="0095222A">
            <w:pPr>
              <w:pStyle w:val="TableRow"/>
            </w:pPr>
            <w:r>
              <w:t>Khalsa Primary School</w:t>
            </w:r>
          </w:p>
        </w:tc>
      </w:tr>
      <w:tr w:rsidR="00E66558" w14:paraId="2A7D54BD" w14:textId="77777777" w:rsidTr="00E53F5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24889D1" w:rsidR="00E66558" w:rsidRDefault="001F7DBC">
            <w:pPr>
              <w:pStyle w:val="TableRow"/>
            </w:pPr>
            <w:r>
              <w:t>375</w:t>
            </w:r>
          </w:p>
        </w:tc>
      </w:tr>
      <w:tr w:rsidR="00E66558" w14:paraId="2A7D54C0" w14:textId="77777777" w:rsidTr="00E53F5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31C0977" w:rsidR="00E66558" w:rsidRDefault="00E53F51" w:rsidP="001F7DBC">
            <w:pPr>
              <w:pStyle w:val="TableRow"/>
            </w:pPr>
            <w:r>
              <w:t>2</w:t>
            </w:r>
            <w:r w:rsidR="001F7DBC">
              <w:t>5</w:t>
            </w:r>
            <w: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A86DAF6" w:rsidR="00E66558" w:rsidRDefault="001F7DBC" w:rsidP="0095222A">
            <w:pPr>
              <w:pStyle w:val="TableRow"/>
            </w:pPr>
            <w:r>
              <w:t>2024-25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3B246B8" w:rsidR="00E66558" w:rsidRPr="00144435" w:rsidRDefault="001F7DBC">
            <w:pPr>
              <w:pStyle w:val="TableRow"/>
            </w:pPr>
            <w:r>
              <w:t>September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9A8CB0B" w:rsidR="00E66558" w:rsidRPr="00144435" w:rsidRDefault="001F7DBC">
            <w:pPr>
              <w:pStyle w:val="TableRow"/>
            </w:pPr>
            <w:r>
              <w:t>September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41A4BCA" w:rsidR="00E66558" w:rsidRDefault="0095222A">
            <w:pPr>
              <w:pStyle w:val="TableRow"/>
            </w:pPr>
            <w:r>
              <w:t>Khalsa Primary School 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B182B84" w:rsidR="00E66558" w:rsidRDefault="0095222A">
            <w:pPr>
              <w:pStyle w:val="TableRow"/>
            </w:pPr>
            <w:r>
              <w:t>Ms. P.</w:t>
            </w:r>
            <w:r w:rsidR="00580EF7">
              <w:t xml:space="preserve"> </w:t>
            </w:r>
            <w:r>
              <w:t>K.</w:t>
            </w:r>
            <w:r w:rsidR="00580EF7">
              <w:t xml:space="preserve"> </w:t>
            </w:r>
            <w:r>
              <w:t>Sehmi</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1D839C2" w:rsidR="00E66558" w:rsidRDefault="009D71E8">
            <w:pPr>
              <w:pStyle w:val="TableRow"/>
            </w:pPr>
            <w:r>
              <w:t xml:space="preserve">Governor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64D7E4E" w:rsidR="00E66558" w:rsidRDefault="0095222A">
            <w:pPr>
              <w:pStyle w:val="TableRow"/>
            </w:pPr>
            <w:r>
              <w:t>Mr. P. Driscoll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rsidRPr="00751116" w14:paraId="2A7D54D9" w14:textId="77777777" w:rsidTr="0075111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lastRenderedPageBreak/>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FA79C75" w:rsidR="00C645A8" w:rsidRPr="001F7DBC" w:rsidRDefault="00084790" w:rsidP="00C645A8">
            <w:pPr>
              <w:pStyle w:val="TableRow"/>
              <w:rPr>
                <w:highlight w:val="yellow"/>
              </w:rPr>
            </w:pPr>
            <w:r w:rsidRPr="00084790">
              <w:t>£139,120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B778882" w:rsidR="0050370C" w:rsidRPr="00084790" w:rsidRDefault="00084790" w:rsidP="0050370C">
            <w:pPr>
              <w:pStyle w:val="TableRow"/>
            </w:pPr>
            <w:r w:rsidRPr="00084790">
              <w:t>£0.00</w:t>
            </w:r>
          </w:p>
        </w:tc>
      </w:tr>
      <w:tr w:rsidR="00E66558" w14:paraId="2A7D54DF" w14:textId="77777777" w:rsidTr="0075111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D8714C" w:rsidR="00E66558" w:rsidRPr="001F7DBC" w:rsidRDefault="00084790">
            <w:pPr>
              <w:pStyle w:val="TableRow"/>
              <w:rPr>
                <w:highlight w:val="yellow"/>
              </w:rPr>
            </w:pPr>
            <w:r w:rsidRPr="00084790">
              <w:t>£0.00</w:t>
            </w:r>
          </w:p>
        </w:tc>
      </w:tr>
      <w:tr w:rsidR="00E66558" w14:paraId="2A7D54E3" w14:textId="77777777" w:rsidTr="0075111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9C8CB7A" w:rsidR="00E66558" w:rsidRPr="001F7DBC" w:rsidRDefault="00084790" w:rsidP="00633CE6">
            <w:pPr>
              <w:pStyle w:val="TableRow"/>
              <w:rPr>
                <w:highlight w:val="yellow"/>
              </w:rPr>
            </w:pPr>
            <w:r w:rsidRPr="00084790">
              <w:t>£139,120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3DB0B" w14:textId="77777777" w:rsidR="00A85625" w:rsidRDefault="0095222A" w:rsidP="0095222A">
            <w:pPr>
              <w:pStyle w:val="Default"/>
              <w:rPr>
                <w:color w:val="0D0D0D"/>
                <w:sz w:val="23"/>
                <w:szCs w:val="23"/>
              </w:rPr>
            </w:pPr>
            <w:r>
              <w:rPr>
                <w:color w:val="0D0D0D"/>
                <w:sz w:val="23"/>
                <w:szCs w:val="23"/>
              </w:rPr>
              <w:t xml:space="preserve">At Khalsa Primary School we are committed to narrowing the gap in attainment of children from economically disadvantaged backgrounds. The targeted </w:t>
            </w:r>
            <w:r w:rsidR="00A85625">
              <w:rPr>
                <w:color w:val="0D0D0D"/>
                <w:sz w:val="23"/>
                <w:szCs w:val="23"/>
              </w:rPr>
              <w:t>and strategic use of the Pupil p</w:t>
            </w:r>
            <w:r>
              <w:rPr>
                <w:color w:val="0D0D0D"/>
                <w:sz w:val="23"/>
                <w:szCs w:val="23"/>
              </w:rPr>
              <w:t xml:space="preserve">remium Grant (PPG) supports the school to achieve this aim. </w:t>
            </w:r>
          </w:p>
          <w:p w14:paraId="1CF9CB0A" w14:textId="3E1A0DE5" w:rsidR="0095222A" w:rsidRDefault="0095222A" w:rsidP="0095222A">
            <w:pPr>
              <w:pStyle w:val="Default"/>
              <w:rPr>
                <w:sz w:val="23"/>
                <w:szCs w:val="23"/>
              </w:rPr>
            </w:pPr>
            <w:r>
              <w:rPr>
                <w:color w:val="0D0D0D"/>
                <w:sz w:val="23"/>
                <w:szCs w:val="23"/>
              </w:rPr>
              <w:t xml:space="preserve">Our ultimate objectives are: </w:t>
            </w:r>
          </w:p>
          <w:p w14:paraId="35EF0CB6" w14:textId="6662D96C" w:rsidR="0095222A" w:rsidRPr="00CF6D7F" w:rsidRDefault="0095222A" w:rsidP="0095222A">
            <w:pPr>
              <w:pStyle w:val="Default"/>
              <w:rPr>
                <w:color w:val="auto"/>
                <w:sz w:val="23"/>
                <w:szCs w:val="23"/>
              </w:rPr>
            </w:pPr>
            <w:r w:rsidRPr="00CF6D7F">
              <w:rPr>
                <w:color w:val="auto"/>
                <w:sz w:val="23"/>
                <w:szCs w:val="23"/>
              </w:rPr>
              <w:t>• To narrow the attainment gap</w:t>
            </w:r>
            <w:r w:rsidR="00A85625">
              <w:rPr>
                <w:color w:val="auto"/>
                <w:sz w:val="23"/>
                <w:szCs w:val="23"/>
              </w:rPr>
              <w:t xml:space="preserve"> between disadvantaged and non-</w:t>
            </w:r>
            <w:r w:rsidRPr="00CF6D7F">
              <w:rPr>
                <w:color w:val="auto"/>
                <w:sz w:val="23"/>
                <w:szCs w:val="23"/>
              </w:rPr>
              <w:t>disadvantaged</w:t>
            </w:r>
            <w:r w:rsidR="00A85625">
              <w:rPr>
                <w:color w:val="auto"/>
                <w:sz w:val="23"/>
                <w:szCs w:val="23"/>
              </w:rPr>
              <w:t xml:space="preserve"> pupils</w:t>
            </w:r>
          </w:p>
          <w:p w14:paraId="2EC75FEF" w14:textId="77777777" w:rsidR="0095222A" w:rsidRPr="00CF6D7F" w:rsidRDefault="0095222A" w:rsidP="0095222A">
            <w:pPr>
              <w:pStyle w:val="Default"/>
              <w:rPr>
                <w:color w:val="auto"/>
                <w:sz w:val="23"/>
                <w:szCs w:val="23"/>
              </w:rPr>
            </w:pPr>
            <w:r w:rsidRPr="00CF6D7F">
              <w:rPr>
                <w:color w:val="auto"/>
                <w:sz w:val="23"/>
                <w:szCs w:val="23"/>
              </w:rPr>
              <w:t xml:space="preserve">• For all disadvantaged pupils in school to make or exceed nationally expected progress rates </w:t>
            </w:r>
          </w:p>
          <w:p w14:paraId="31B8280B" w14:textId="5B471321" w:rsidR="0095222A" w:rsidRPr="00CF6D7F" w:rsidRDefault="0095222A" w:rsidP="0095222A">
            <w:pPr>
              <w:pStyle w:val="Default"/>
              <w:rPr>
                <w:color w:val="auto"/>
                <w:sz w:val="23"/>
                <w:szCs w:val="23"/>
              </w:rPr>
            </w:pPr>
            <w:r w:rsidRPr="00CF6D7F">
              <w:rPr>
                <w:color w:val="auto"/>
                <w:sz w:val="23"/>
                <w:szCs w:val="23"/>
              </w:rPr>
              <w:t>• To provide rich and varied learning and enrichment opportunities to promote enjoyment and well-being for all pupils</w:t>
            </w:r>
            <w:r w:rsidR="00A85625">
              <w:rPr>
                <w:color w:val="auto"/>
                <w:sz w:val="23"/>
                <w:szCs w:val="23"/>
              </w:rPr>
              <w:t>.</w:t>
            </w:r>
          </w:p>
          <w:p w14:paraId="00E50E22" w14:textId="77777777" w:rsidR="0095222A" w:rsidRPr="00CF6D7F" w:rsidRDefault="0095222A" w:rsidP="0095222A">
            <w:pPr>
              <w:pStyle w:val="Default"/>
              <w:rPr>
                <w:color w:val="auto"/>
                <w:sz w:val="23"/>
                <w:szCs w:val="23"/>
              </w:rPr>
            </w:pPr>
          </w:p>
          <w:p w14:paraId="3C65312F" w14:textId="0A7E5D75" w:rsidR="0095222A" w:rsidRPr="00CF6D7F" w:rsidRDefault="0095222A" w:rsidP="0095222A">
            <w:pPr>
              <w:pStyle w:val="Default"/>
              <w:rPr>
                <w:color w:val="auto"/>
                <w:sz w:val="23"/>
                <w:szCs w:val="23"/>
              </w:rPr>
            </w:pPr>
            <w:r w:rsidRPr="00CF6D7F">
              <w:rPr>
                <w:color w:val="auto"/>
                <w:sz w:val="23"/>
                <w:szCs w:val="23"/>
              </w:rPr>
              <w:t xml:space="preserve">We aim to do this </w:t>
            </w:r>
            <w:r w:rsidR="00A85625">
              <w:rPr>
                <w:color w:val="auto"/>
                <w:sz w:val="23"/>
                <w:szCs w:val="23"/>
              </w:rPr>
              <w:t>by</w:t>
            </w:r>
            <w:r w:rsidRPr="00CF6D7F">
              <w:rPr>
                <w:color w:val="auto"/>
                <w:sz w:val="23"/>
                <w:szCs w:val="23"/>
              </w:rPr>
              <w:t xml:space="preserve">: </w:t>
            </w:r>
          </w:p>
          <w:p w14:paraId="563570B7" w14:textId="4298575D" w:rsidR="0095222A" w:rsidRPr="00CF6D7F" w:rsidRDefault="0095222A" w:rsidP="0095222A">
            <w:pPr>
              <w:pStyle w:val="Default"/>
              <w:rPr>
                <w:color w:val="auto"/>
                <w:sz w:val="23"/>
                <w:szCs w:val="23"/>
              </w:rPr>
            </w:pPr>
            <w:r w:rsidRPr="00CF6D7F">
              <w:rPr>
                <w:color w:val="auto"/>
                <w:sz w:val="23"/>
                <w:szCs w:val="23"/>
              </w:rPr>
              <w:t>• Ensuring that teaching and learning opportunities me</w:t>
            </w:r>
            <w:r w:rsidR="00A85625">
              <w:rPr>
                <w:color w:val="auto"/>
                <w:sz w:val="23"/>
                <w:szCs w:val="23"/>
              </w:rPr>
              <w:t>et the needs of all the pupils</w:t>
            </w:r>
          </w:p>
          <w:p w14:paraId="5B31EF6D" w14:textId="35B8848F" w:rsidR="0095222A" w:rsidRPr="00CF6D7F" w:rsidRDefault="0095222A" w:rsidP="0095222A">
            <w:pPr>
              <w:pStyle w:val="Default"/>
              <w:rPr>
                <w:color w:val="auto"/>
                <w:sz w:val="23"/>
                <w:szCs w:val="23"/>
              </w:rPr>
            </w:pPr>
            <w:r w:rsidRPr="00CF6D7F">
              <w:rPr>
                <w:color w:val="auto"/>
                <w:sz w:val="23"/>
                <w:szCs w:val="23"/>
              </w:rPr>
              <w:t xml:space="preserve">• Ensuring that appropriate provision is made for pupils who belong to vulnerable groups, this includes ensuring that the needs of socially disadvantaged pupils are adequately      assessed and addressed. </w:t>
            </w:r>
          </w:p>
          <w:p w14:paraId="25BB055C" w14:textId="77777777" w:rsidR="0095222A" w:rsidRPr="00CF6D7F" w:rsidRDefault="0095222A" w:rsidP="0095222A">
            <w:pPr>
              <w:pStyle w:val="Default"/>
              <w:rPr>
                <w:color w:val="auto"/>
                <w:sz w:val="23"/>
                <w:szCs w:val="23"/>
              </w:rPr>
            </w:pPr>
          </w:p>
          <w:p w14:paraId="4F02DB41" w14:textId="44AECECB" w:rsidR="0095222A" w:rsidRPr="00CF6D7F" w:rsidRDefault="0095222A" w:rsidP="0095222A">
            <w:pPr>
              <w:pStyle w:val="Default"/>
              <w:rPr>
                <w:color w:val="auto"/>
                <w:sz w:val="23"/>
                <w:szCs w:val="23"/>
              </w:rPr>
            </w:pPr>
            <w:r w:rsidRPr="00CF6D7F">
              <w:rPr>
                <w:color w:val="auto"/>
                <w:sz w:val="23"/>
                <w:szCs w:val="23"/>
              </w:rPr>
              <w:t>When making provision for socially disadvantaged pupils, we recognise that not all pupils who receive free school meals will be socially disadvantaged. 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w:t>
            </w:r>
            <w:r w:rsidR="003760BA">
              <w:rPr>
                <w:color w:val="auto"/>
                <w:sz w:val="23"/>
                <w:szCs w:val="23"/>
              </w:rPr>
              <w:t>.</w:t>
            </w:r>
            <w:r w:rsidRPr="00CF6D7F">
              <w:rPr>
                <w:color w:val="auto"/>
                <w:sz w:val="23"/>
                <w:szCs w:val="23"/>
              </w:rPr>
              <w:t xml:space="preserve"> Limited funding and resources mean that not all children receiving free school meals will be in </w:t>
            </w:r>
            <w:r w:rsidR="003760BA">
              <w:rPr>
                <w:color w:val="auto"/>
                <w:sz w:val="23"/>
                <w:szCs w:val="23"/>
              </w:rPr>
              <w:t xml:space="preserve">     </w:t>
            </w:r>
            <w:r w:rsidRPr="00CF6D7F">
              <w:rPr>
                <w:color w:val="auto"/>
                <w:sz w:val="23"/>
                <w:szCs w:val="23"/>
              </w:rPr>
              <w:t>receipt of pupil premium interventions at one time.</w:t>
            </w:r>
          </w:p>
          <w:p w14:paraId="6FABFFB1" w14:textId="6E22FAF8" w:rsidR="0095222A" w:rsidRPr="00CF6D7F" w:rsidRDefault="0095222A" w:rsidP="0095222A">
            <w:pPr>
              <w:pStyle w:val="Default"/>
              <w:rPr>
                <w:color w:val="auto"/>
                <w:sz w:val="23"/>
                <w:szCs w:val="23"/>
              </w:rPr>
            </w:pPr>
            <w:r w:rsidRPr="00CF6D7F">
              <w:rPr>
                <w:color w:val="auto"/>
                <w:sz w:val="23"/>
                <w:szCs w:val="23"/>
              </w:rPr>
              <w:t xml:space="preserve"> </w:t>
            </w:r>
          </w:p>
          <w:p w14:paraId="347D2B87" w14:textId="31906876" w:rsidR="0095222A" w:rsidRPr="00CF6D7F" w:rsidRDefault="00C645A8" w:rsidP="0095222A">
            <w:pPr>
              <w:pStyle w:val="Default"/>
              <w:rPr>
                <w:color w:val="auto"/>
                <w:sz w:val="23"/>
                <w:szCs w:val="23"/>
              </w:rPr>
            </w:pPr>
            <w:r>
              <w:rPr>
                <w:color w:val="auto"/>
                <w:sz w:val="23"/>
                <w:szCs w:val="23"/>
              </w:rPr>
              <w:t xml:space="preserve">Our summer </w:t>
            </w:r>
            <w:r w:rsidR="001F7DBC">
              <w:rPr>
                <w:color w:val="auto"/>
                <w:sz w:val="23"/>
                <w:szCs w:val="23"/>
              </w:rPr>
              <w:t>2024</w:t>
            </w:r>
            <w:r w:rsidR="00633CE6">
              <w:rPr>
                <w:color w:val="auto"/>
                <w:sz w:val="23"/>
                <w:szCs w:val="23"/>
              </w:rPr>
              <w:t xml:space="preserve"> data, including both internal data and externally published data, shows that:</w:t>
            </w:r>
          </w:p>
          <w:p w14:paraId="0AD2EE87" w14:textId="698A9564" w:rsidR="00633CE6" w:rsidRDefault="0095222A" w:rsidP="00326674">
            <w:pPr>
              <w:pStyle w:val="Default"/>
              <w:rPr>
                <w:color w:val="auto"/>
                <w:sz w:val="23"/>
                <w:szCs w:val="23"/>
              </w:rPr>
            </w:pPr>
            <w:r w:rsidRPr="00CF6D7F">
              <w:rPr>
                <w:color w:val="auto"/>
                <w:sz w:val="23"/>
                <w:szCs w:val="23"/>
              </w:rPr>
              <w:t xml:space="preserve">● </w:t>
            </w:r>
            <w:r w:rsidR="00633CE6">
              <w:rPr>
                <w:color w:val="auto"/>
                <w:sz w:val="23"/>
                <w:szCs w:val="23"/>
              </w:rPr>
              <w:t>Pupil progress across all year groups is good overall, including for pupil premium groups</w:t>
            </w:r>
          </w:p>
          <w:p w14:paraId="0984BBA8" w14:textId="79A7D110" w:rsidR="0095222A" w:rsidRPr="00CF6D7F" w:rsidRDefault="0095222A" w:rsidP="0095222A">
            <w:pPr>
              <w:pStyle w:val="Default"/>
              <w:rPr>
                <w:color w:val="auto"/>
                <w:sz w:val="23"/>
                <w:szCs w:val="23"/>
              </w:rPr>
            </w:pPr>
            <w:r w:rsidRPr="00CF6D7F">
              <w:rPr>
                <w:color w:val="auto"/>
                <w:sz w:val="23"/>
                <w:szCs w:val="23"/>
              </w:rPr>
              <w:t xml:space="preserve">● </w:t>
            </w:r>
            <w:r w:rsidR="00AB0311" w:rsidRPr="00CF6D7F">
              <w:rPr>
                <w:color w:val="auto"/>
                <w:sz w:val="23"/>
                <w:szCs w:val="23"/>
              </w:rPr>
              <w:t xml:space="preserve">There is a </w:t>
            </w:r>
            <w:r w:rsidR="00640B69">
              <w:rPr>
                <w:color w:val="auto"/>
                <w:sz w:val="23"/>
                <w:szCs w:val="23"/>
              </w:rPr>
              <w:t xml:space="preserve">still a </w:t>
            </w:r>
            <w:r w:rsidR="00AB0311" w:rsidRPr="00CF6D7F">
              <w:rPr>
                <w:color w:val="auto"/>
                <w:sz w:val="23"/>
                <w:szCs w:val="23"/>
              </w:rPr>
              <w:t>gap between the attainment of pupil premium and non-pupil premium pupils in some year groups</w:t>
            </w:r>
            <w:r w:rsidR="002A54D0">
              <w:rPr>
                <w:color w:val="auto"/>
                <w:sz w:val="23"/>
                <w:szCs w:val="23"/>
              </w:rPr>
              <w:t>, although the gap across all year groups is closing.</w:t>
            </w:r>
          </w:p>
          <w:p w14:paraId="7CF5E0F3" w14:textId="2ED16298" w:rsidR="00E721B8" w:rsidRPr="00B03089" w:rsidRDefault="0095222A" w:rsidP="00E721B8">
            <w:pPr>
              <w:pStyle w:val="Default"/>
              <w:numPr>
                <w:ilvl w:val="0"/>
                <w:numId w:val="1"/>
              </w:numPr>
              <w:rPr>
                <w:i/>
                <w:iCs/>
              </w:rPr>
            </w:pPr>
            <w:r w:rsidRPr="00CF6D7F">
              <w:rPr>
                <w:color w:val="auto"/>
                <w:sz w:val="23"/>
                <w:szCs w:val="23"/>
              </w:rPr>
              <w:t xml:space="preserve">● </w:t>
            </w:r>
            <w:r w:rsidR="00633CE6">
              <w:rPr>
                <w:color w:val="auto"/>
                <w:sz w:val="23"/>
                <w:szCs w:val="23"/>
              </w:rPr>
              <w:t xml:space="preserve">The effect of the pandemic on disadvantaged pupils is still </w:t>
            </w:r>
            <w:r w:rsidR="00E721B8">
              <w:rPr>
                <w:color w:val="auto"/>
                <w:sz w:val="23"/>
                <w:szCs w:val="23"/>
              </w:rPr>
              <w:t xml:space="preserve">evident in end of </w:t>
            </w:r>
            <w:r w:rsidR="002A54D0">
              <w:rPr>
                <w:color w:val="auto"/>
                <w:sz w:val="23"/>
                <w:szCs w:val="23"/>
              </w:rPr>
              <w:t xml:space="preserve">KS2 </w:t>
            </w:r>
            <w:r w:rsidR="00E721B8">
              <w:rPr>
                <w:color w:val="auto"/>
                <w:sz w:val="23"/>
                <w:szCs w:val="23"/>
              </w:rPr>
              <w:t>outcomes</w:t>
            </w:r>
          </w:p>
          <w:p w14:paraId="7C5A09C5" w14:textId="6EDC98E8" w:rsidR="00B03089" w:rsidRPr="00E721B8" w:rsidRDefault="00B03089" w:rsidP="00B03089">
            <w:pPr>
              <w:pStyle w:val="Default"/>
              <w:numPr>
                <w:ilvl w:val="0"/>
                <w:numId w:val="1"/>
              </w:numPr>
              <w:rPr>
                <w:i/>
                <w:iCs/>
              </w:rPr>
            </w:pPr>
            <w:r w:rsidRPr="00CF6D7F">
              <w:rPr>
                <w:color w:val="auto"/>
                <w:sz w:val="23"/>
                <w:szCs w:val="23"/>
              </w:rPr>
              <w:t xml:space="preserve">● </w:t>
            </w:r>
            <w:r>
              <w:rPr>
                <w:color w:val="auto"/>
                <w:sz w:val="23"/>
                <w:szCs w:val="23"/>
              </w:rPr>
              <w:t>There is a requirement for accelerated progress for disadvantaged groups to close these gaps.</w:t>
            </w:r>
          </w:p>
          <w:p w14:paraId="2A7D54E9" w14:textId="1BD2C54C" w:rsidR="00E721B8" w:rsidRPr="009C409E" w:rsidRDefault="00E721B8" w:rsidP="009C409E">
            <w:pPr>
              <w:pStyle w:val="Default"/>
              <w:rPr>
                <w:i/>
                <w:iCs/>
              </w:rPr>
            </w:pPr>
          </w:p>
        </w:tc>
      </w:tr>
    </w:tbl>
    <w:p w14:paraId="62379777" w14:textId="77777777" w:rsidR="00A85625" w:rsidRDefault="00A85625">
      <w:pPr>
        <w:pStyle w:val="Heading2"/>
        <w:spacing w:before="600"/>
      </w:pPr>
    </w:p>
    <w:p w14:paraId="558EB7DB" w14:textId="77777777" w:rsidR="00A85625" w:rsidRDefault="00A85625">
      <w:pPr>
        <w:suppressAutoHyphens w:val="0"/>
        <w:spacing w:after="0" w:line="240" w:lineRule="auto"/>
        <w:rPr>
          <w:b/>
          <w:color w:val="104F75"/>
          <w:sz w:val="32"/>
          <w:szCs w:val="32"/>
        </w:rPr>
      </w:pPr>
      <w:r>
        <w:br w:type="page"/>
      </w:r>
    </w:p>
    <w:p w14:paraId="2A7D54EB" w14:textId="09BA9264"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6D7BDE" w14:paraId="5CB1D77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6B2A6" w14:textId="5588B154" w:rsidR="006D7BDE" w:rsidRDefault="006D7BDE">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6078" w14:textId="5D41ED56" w:rsidR="006D7BDE" w:rsidRDefault="006D7BDE" w:rsidP="00264368">
            <w:pPr>
              <w:pStyle w:val="Default"/>
              <w:numPr>
                <w:ilvl w:val="0"/>
                <w:numId w:val="1"/>
              </w:numPr>
            </w:pPr>
            <w:r>
              <w:t xml:space="preserve">Low early reading </w:t>
            </w:r>
            <w:r w:rsidR="00B03089">
              <w:t>(</w:t>
            </w:r>
            <w:r>
              <w:t>decoding and fluency</w:t>
            </w:r>
            <w:r w:rsidR="00B03089">
              <w:t>)</w:t>
            </w:r>
            <w:r>
              <w:t xml:space="preserve"> skills prevent pupils </w:t>
            </w:r>
            <w:r w:rsidR="00264368">
              <w:t>from fully engaging</w:t>
            </w:r>
            <w:r>
              <w:t xml:space="preserve"> in the wider curriculum</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2D7283EF" w:rsidR="00E66558" w:rsidRDefault="006D7BDE">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BE5F2F5" w:rsidR="00E66558" w:rsidRPr="00164743" w:rsidRDefault="006D7BDE" w:rsidP="00264368">
            <w:pPr>
              <w:pStyle w:val="Default"/>
              <w:numPr>
                <w:ilvl w:val="0"/>
                <w:numId w:val="1"/>
              </w:numPr>
              <w:rPr>
                <w:rFonts w:ascii="Times New Roman" w:hAnsi="Times New Roman"/>
                <w:color w:val="auto"/>
                <w:sz w:val="23"/>
                <w:szCs w:val="23"/>
              </w:rPr>
            </w:pPr>
            <w:r>
              <w:t>Low attainment in core subjects, particularly Reading and Writing skills</w:t>
            </w:r>
            <w:r w:rsidR="00264368">
              <w:t>,</w:t>
            </w:r>
            <w:r>
              <w:t xml:space="preserve"> </w:t>
            </w:r>
            <w:r w:rsidR="00264368">
              <w:t>are a barrier to accessing</w:t>
            </w:r>
            <w:r>
              <w:t xml:space="preserve"> the rest of the curriculum</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2A3C7822" w:rsidR="00E66558" w:rsidRDefault="006D7BD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532F492" w:rsidR="00E66558" w:rsidRPr="00164743" w:rsidRDefault="006D7BDE" w:rsidP="00164743">
            <w:pPr>
              <w:pStyle w:val="Default"/>
              <w:numPr>
                <w:ilvl w:val="0"/>
                <w:numId w:val="1"/>
              </w:numPr>
              <w:rPr>
                <w:rFonts w:ascii="Times New Roman" w:hAnsi="Times New Roman"/>
                <w:color w:val="auto"/>
                <w:sz w:val="23"/>
                <w:szCs w:val="23"/>
              </w:rPr>
            </w:pPr>
            <w:r>
              <w:rPr>
                <w:color w:val="0D0D0D"/>
                <w:sz w:val="23"/>
                <w:szCs w:val="23"/>
              </w:rPr>
              <w:t>More limited vocabulary than their peers, linked to wider life experiences and access to texts</w:t>
            </w:r>
            <w:r w:rsidR="00264368">
              <w:rPr>
                <w:color w:val="0D0D0D"/>
                <w:sz w:val="23"/>
                <w:szCs w:val="23"/>
              </w:rPr>
              <w:t xml:space="preserve"> and spoken English</w:t>
            </w:r>
            <w:r>
              <w:rPr>
                <w:color w:val="0D0D0D"/>
                <w:sz w:val="23"/>
                <w:szCs w:val="23"/>
              </w:rPr>
              <w:t xml:space="preserve"> in the home</w:t>
            </w:r>
            <w:r w:rsidR="00AB0311">
              <w:rPr>
                <w:color w:val="0D0D0D"/>
                <w:sz w:val="23"/>
                <w:szCs w:val="23"/>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71F2047" w:rsidR="00E66558" w:rsidRDefault="006D7BDE">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85E4054" w:rsidR="00E66558" w:rsidRPr="00164743" w:rsidRDefault="005254D4" w:rsidP="005254D4">
            <w:pPr>
              <w:pStyle w:val="Default"/>
              <w:numPr>
                <w:ilvl w:val="0"/>
                <w:numId w:val="1"/>
              </w:numPr>
              <w:rPr>
                <w:rFonts w:ascii="Times New Roman" w:hAnsi="Times New Roman"/>
                <w:color w:val="auto"/>
                <w:sz w:val="23"/>
                <w:szCs w:val="23"/>
              </w:rPr>
            </w:pPr>
            <w:r>
              <w:rPr>
                <w:color w:val="0D0D0D"/>
                <w:sz w:val="23"/>
                <w:szCs w:val="23"/>
              </w:rPr>
              <w:t xml:space="preserve">Additional </w:t>
            </w:r>
            <w:r w:rsidR="00AB0311">
              <w:rPr>
                <w:color w:val="0D0D0D"/>
                <w:sz w:val="23"/>
                <w:szCs w:val="23"/>
              </w:rPr>
              <w:t>need to revisit and re-practise skills and knowledge until they are fully unde</w:t>
            </w:r>
            <w:r w:rsidR="00B03089">
              <w:rPr>
                <w:color w:val="0D0D0D"/>
                <w:sz w:val="23"/>
                <w:szCs w:val="23"/>
              </w:rPr>
              <w:t>rstood and in long term memory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4ED5CCDB" w:rsidR="00E66558" w:rsidRDefault="006D7BDE">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7E408EA" w:rsidR="00E66558" w:rsidRPr="00164743" w:rsidRDefault="006D7BDE" w:rsidP="006D7BDE">
            <w:pPr>
              <w:pStyle w:val="Default"/>
              <w:numPr>
                <w:ilvl w:val="0"/>
                <w:numId w:val="1"/>
              </w:numPr>
              <w:rPr>
                <w:rFonts w:ascii="Times New Roman" w:hAnsi="Times New Roman"/>
                <w:color w:val="auto"/>
                <w:sz w:val="23"/>
                <w:szCs w:val="23"/>
              </w:rPr>
            </w:pPr>
            <w:r>
              <w:rPr>
                <w:color w:val="0D0D0D"/>
                <w:sz w:val="23"/>
                <w:szCs w:val="23"/>
              </w:rPr>
              <w:t xml:space="preserve">Persistent absenteeism and </w:t>
            </w:r>
            <w:r w:rsidR="00B03089">
              <w:rPr>
                <w:color w:val="0D0D0D"/>
                <w:sz w:val="23"/>
                <w:szCs w:val="23"/>
              </w:rPr>
              <w:t>lateness</w:t>
            </w:r>
          </w:p>
        </w:tc>
      </w:tr>
      <w:tr w:rsidR="006D7BDE" w14:paraId="6CE4C1E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7D5" w14:textId="04E615D8" w:rsidR="006D7BDE" w:rsidRDefault="006D7BD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BBE6A" w14:textId="3BD30F9A" w:rsidR="006D7BDE" w:rsidRDefault="006D7BDE" w:rsidP="005254D4">
            <w:pPr>
              <w:pStyle w:val="Default"/>
              <w:numPr>
                <w:ilvl w:val="0"/>
                <w:numId w:val="1"/>
              </w:numPr>
              <w:rPr>
                <w:color w:val="0D0D0D"/>
                <w:sz w:val="23"/>
                <w:szCs w:val="23"/>
              </w:rPr>
            </w:pPr>
            <w:r>
              <w:rPr>
                <w:color w:val="0D0D0D"/>
                <w:sz w:val="23"/>
                <w:szCs w:val="23"/>
              </w:rPr>
              <w:t xml:space="preserve">Parental engagement </w:t>
            </w:r>
            <w:r w:rsidR="005254D4">
              <w:rPr>
                <w:color w:val="0D0D0D"/>
                <w:sz w:val="23"/>
                <w:szCs w:val="23"/>
              </w:rPr>
              <w:t xml:space="preserve">with </w:t>
            </w:r>
            <w:r w:rsidR="00B03089">
              <w:rPr>
                <w:color w:val="0D0D0D"/>
                <w:sz w:val="23"/>
                <w:szCs w:val="23"/>
              </w:rPr>
              <w:t>children’s learning</w:t>
            </w:r>
          </w:p>
        </w:tc>
      </w:tr>
      <w:tr w:rsidR="005254D4" w14:paraId="1DF6B55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0E6A" w14:textId="1B58D46E" w:rsidR="005254D4" w:rsidRDefault="005254D4">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9BDE5" w14:textId="0F63BFBF" w:rsidR="005254D4" w:rsidRDefault="005254D4" w:rsidP="005254D4">
            <w:pPr>
              <w:pStyle w:val="Default"/>
              <w:numPr>
                <w:ilvl w:val="0"/>
                <w:numId w:val="1"/>
              </w:numPr>
              <w:rPr>
                <w:color w:val="0D0D0D"/>
                <w:sz w:val="23"/>
                <w:szCs w:val="23"/>
              </w:rPr>
            </w:pPr>
            <w:r>
              <w:rPr>
                <w:color w:val="0D0D0D"/>
                <w:sz w:val="23"/>
                <w:szCs w:val="23"/>
              </w:rPr>
              <w:t>Ability of parents to support children with home learning, both practically and financially (for example, purchasing devices)</w:t>
            </w:r>
          </w:p>
        </w:tc>
      </w:tr>
      <w:tr w:rsidR="006D7BDE" w14:paraId="4DB987B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E0C3C" w14:textId="4DE14C60" w:rsidR="006D7BDE" w:rsidRDefault="005254D4">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3295" w14:textId="00063DF6" w:rsidR="006D7BDE" w:rsidRDefault="006D7BDE" w:rsidP="00164743">
            <w:pPr>
              <w:pStyle w:val="Default"/>
              <w:numPr>
                <w:ilvl w:val="0"/>
                <w:numId w:val="1"/>
              </w:numPr>
              <w:rPr>
                <w:color w:val="0D0D0D"/>
                <w:sz w:val="23"/>
                <w:szCs w:val="23"/>
              </w:rPr>
            </w:pPr>
            <w:r>
              <w:rPr>
                <w:color w:val="0D0D0D"/>
                <w:sz w:val="23"/>
                <w:szCs w:val="23"/>
              </w:rPr>
              <w:t>Financial restraints on parents to fund additional experiences, such as school visits and after-school clubs</w:t>
            </w:r>
          </w:p>
        </w:tc>
      </w:tr>
      <w:tr w:rsidR="002A54D0" w14:paraId="5511A9E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1859C" w14:textId="09AC3484" w:rsidR="002A54D0" w:rsidRDefault="002A54D0">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B579" w14:textId="557693D0" w:rsidR="002A54D0" w:rsidRDefault="002A54D0" w:rsidP="00164743">
            <w:pPr>
              <w:pStyle w:val="Default"/>
              <w:numPr>
                <w:ilvl w:val="0"/>
                <w:numId w:val="1"/>
              </w:numPr>
              <w:rPr>
                <w:color w:val="0D0D0D"/>
                <w:sz w:val="23"/>
                <w:szCs w:val="23"/>
              </w:rPr>
            </w:pPr>
            <w:r>
              <w:rPr>
                <w:color w:val="0D0D0D"/>
                <w:sz w:val="23"/>
                <w:szCs w:val="23"/>
              </w:rPr>
              <w:t>Low starting points for pupils in EYFS, particularly self-care, speech and social/emotional needs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31"/>
        <w:gridCol w:w="4955"/>
      </w:tblGrid>
      <w:tr w:rsidR="00E66558" w14:paraId="2A7D5503" w14:textId="77777777" w:rsidTr="002A70AA">
        <w:tc>
          <w:tcPr>
            <w:tcW w:w="4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9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64743" w14:paraId="2A7D5506" w14:textId="77777777" w:rsidTr="002A70A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165AB" w14:textId="4347F2B9" w:rsidR="00164743" w:rsidRDefault="00164743" w:rsidP="00164743">
            <w:pPr>
              <w:pStyle w:val="Default"/>
              <w:numPr>
                <w:ilvl w:val="0"/>
                <w:numId w:val="1"/>
              </w:numPr>
              <w:rPr>
                <w:rFonts w:ascii="Times New Roman" w:hAnsi="Times New Roman"/>
                <w:color w:val="auto"/>
                <w:sz w:val="23"/>
                <w:szCs w:val="23"/>
              </w:rPr>
            </w:pPr>
            <w:r>
              <w:rPr>
                <w:color w:val="0D0D0D"/>
                <w:sz w:val="23"/>
                <w:szCs w:val="23"/>
              </w:rPr>
              <w:t xml:space="preserve">Attainment and progress of pupils entitled to Pupil Premium Grant to be broadly in-line with their peers across all year groups </w:t>
            </w:r>
          </w:p>
          <w:p w14:paraId="2A7D5504" w14:textId="545D5E29" w:rsidR="00164743" w:rsidRDefault="00164743" w:rsidP="00164743">
            <w:pPr>
              <w:pStyle w:val="TableRow"/>
            </w:pP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7F8F" w14:textId="397854E2" w:rsidR="00164743" w:rsidRPr="005600E1" w:rsidRDefault="00164743" w:rsidP="00164743">
            <w:pPr>
              <w:pStyle w:val="Default"/>
              <w:numPr>
                <w:ilvl w:val="0"/>
                <w:numId w:val="1"/>
              </w:numPr>
              <w:rPr>
                <w:rFonts w:ascii="Times New Roman" w:hAnsi="Times New Roman"/>
                <w:color w:val="auto"/>
                <w:sz w:val="23"/>
                <w:szCs w:val="23"/>
              </w:rPr>
            </w:pPr>
            <w:r>
              <w:rPr>
                <w:color w:val="0D0D0D"/>
                <w:sz w:val="23"/>
                <w:szCs w:val="23"/>
              </w:rPr>
              <w:t xml:space="preserve">Pupil premium pupils achieve </w:t>
            </w:r>
            <w:r w:rsidR="005600E1">
              <w:rPr>
                <w:color w:val="0D0D0D"/>
                <w:sz w:val="23"/>
                <w:szCs w:val="23"/>
              </w:rPr>
              <w:t xml:space="preserve">or exceed national </w:t>
            </w:r>
            <w:r>
              <w:rPr>
                <w:color w:val="0D0D0D"/>
                <w:sz w:val="23"/>
                <w:szCs w:val="23"/>
              </w:rPr>
              <w:t>average progress</w:t>
            </w:r>
            <w:r w:rsidR="002A54D0">
              <w:rPr>
                <w:color w:val="0D0D0D"/>
                <w:sz w:val="23"/>
                <w:szCs w:val="23"/>
              </w:rPr>
              <w:t xml:space="preserve"> and attainment</w:t>
            </w:r>
            <w:r>
              <w:rPr>
                <w:color w:val="0D0D0D"/>
                <w:sz w:val="23"/>
                <w:szCs w:val="23"/>
              </w:rPr>
              <w:t xml:space="preserve"> scores in KS2 reading, writing and maths. </w:t>
            </w:r>
          </w:p>
          <w:p w14:paraId="7A3B8F0C" w14:textId="17CD932F" w:rsidR="005600E1" w:rsidRDefault="005600E1" w:rsidP="005600E1">
            <w:pPr>
              <w:pStyle w:val="Default"/>
              <w:rPr>
                <w:color w:val="0D0D0D"/>
                <w:sz w:val="23"/>
                <w:szCs w:val="23"/>
              </w:rPr>
            </w:pPr>
          </w:p>
          <w:p w14:paraId="2A7D5505" w14:textId="657885AB" w:rsidR="00E1772B" w:rsidRPr="002A70AA" w:rsidRDefault="00B03089" w:rsidP="002A54D0">
            <w:pPr>
              <w:pStyle w:val="Default"/>
              <w:rPr>
                <w:color w:val="0D0D0D"/>
                <w:sz w:val="23"/>
                <w:szCs w:val="23"/>
              </w:rPr>
            </w:pPr>
            <w:r>
              <w:rPr>
                <w:color w:val="0D0D0D"/>
                <w:sz w:val="23"/>
                <w:szCs w:val="23"/>
              </w:rPr>
              <w:lastRenderedPageBreak/>
              <w:t xml:space="preserve">The </w:t>
            </w:r>
            <w:r w:rsidR="009C409E">
              <w:rPr>
                <w:color w:val="0D0D0D"/>
                <w:sz w:val="23"/>
                <w:szCs w:val="23"/>
              </w:rPr>
              <w:t xml:space="preserve">attainment </w:t>
            </w:r>
            <w:r w:rsidR="005600E1">
              <w:rPr>
                <w:color w:val="0D0D0D"/>
                <w:sz w:val="23"/>
                <w:szCs w:val="23"/>
              </w:rPr>
              <w:t>gap between PP and non</w:t>
            </w:r>
            <w:r>
              <w:rPr>
                <w:color w:val="0D0D0D"/>
                <w:sz w:val="23"/>
                <w:szCs w:val="23"/>
              </w:rPr>
              <w:t xml:space="preserve">-PP pupils in </w:t>
            </w:r>
            <w:r w:rsidR="009C409E">
              <w:rPr>
                <w:color w:val="0D0D0D"/>
                <w:sz w:val="23"/>
                <w:szCs w:val="23"/>
              </w:rPr>
              <w:t>all</w:t>
            </w:r>
            <w:r>
              <w:rPr>
                <w:color w:val="0D0D0D"/>
                <w:sz w:val="23"/>
                <w:szCs w:val="23"/>
              </w:rPr>
              <w:t xml:space="preserve"> year groups </w:t>
            </w:r>
            <w:r w:rsidR="002A54D0">
              <w:rPr>
                <w:color w:val="0D0D0D"/>
                <w:sz w:val="23"/>
                <w:szCs w:val="23"/>
              </w:rPr>
              <w:t>is closed.</w:t>
            </w:r>
            <w:r>
              <w:rPr>
                <w:color w:val="0D0D0D"/>
                <w:sz w:val="23"/>
                <w:szCs w:val="23"/>
              </w:rPr>
              <w:t xml:space="preserve"> </w:t>
            </w:r>
          </w:p>
        </w:tc>
      </w:tr>
      <w:tr w:rsidR="00164743" w14:paraId="2A7D550C" w14:textId="77777777" w:rsidTr="002A70A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1E31E" w14:textId="1B6B84A3" w:rsidR="00164743" w:rsidRDefault="00164743" w:rsidP="00164743">
            <w:pPr>
              <w:pStyle w:val="Default"/>
              <w:numPr>
                <w:ilvl w:val="0"/>
                <w:numId w:val="1"/>
              </w:numPr>
              <w:rPr>
                <w:rFonts w:ascii="Times New Roman" w:hAnsi="Times New Roman"/>
                <w:color w:val="auto"/>
                <w:sz w:val="23"/>
                <w:szCs w:val="23"/>
              </w:rPr>
            </w:pPr>
            <w:r>
              <w:rPr>
                <w:color w:val="0D0D0D"/>
                <w:sz w:val="23"/>
                <w:szCs w:val="23"/>
              </w:rPr>
              <w:lastRenderedPageBreak/>
              <w:t xml:space="preserve">To improve </w:t>
            </w:r>
            <w:r w:rsidR="00B03089">
              <w:rPr>
                <w:color w:val="0D0D0D"/>
                <w:sz w:val="23"/>
                <w:szCs w:val="23"/>
              </w:rPr>
              <w:t>parental engagement in learning.</w:t>
            </w:r>
            <w:r>
              <w:rPr>
                <w:color w:val="0D0D0D"/>
                <w:sz w:val="23"/>
                <w:szCs w:val="23"/>
              </w:rPr>
              <w:t xml:space="preserve"> </w:t>
            </w:r>
          </w:p>
          <w:p w14:paraId="2A7D550A" w14:textId="2EF05AA1" w:rsidR="00164743" w:rsidRDefault="00164743" w:rsidP="00164743">
            <w:pPr>
              <w:pStyle w:val="TableRow"/>
              <w:rPr>
                <w:sz w:val="22"/>
                <w:szCs w:val="22"/>
              </w:rPr>
            </w:pP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7C89816" w:rsidR="00164743" w:rsidRPr="002A70AA" w:rsidRDefault="00164743" w:rsidP="002A54D0">
            <w:pPr>
              <w:pStyle w:val="Default"/>
              <w:numPr>
                <w:ilvl w:val="0"/>
                <w:numId w:val="1"/>
              </w:numPr>
              <w:rPr>
                <w:rFonts w:ascii="Times New Roman" w:hAnsi="Times New Roman"/>
                <w:color w:val="auto"/>
                <w:sz w:val="23"/>
                <w:szCs w:val="23"/>
              </w:rPr>
            </w:pPr>
            <w:r>
              <w:rPr>
                <w:color w:val="0D0D0D"/>
                <w:sz w:val="23"/>
                <w:szCs w:val="23"/>
              </w:rPr>
              <w:t xml:space="preserve">Pupil premium pupils are engaging in all home learning tasks, supported by their parents. </w:t>
            </w:r>
            <w:r w:rsidR="00B03089">
              <w:rPr>
                <w:color w:val="0D0D0D"/>
                <w:sz w:val="23"/>
                <w:szCs w:val="23"/>
              </w:rPr>
              <w:t xml:space="preserve">Parents of disadvantaged pupils have good attendance at </w:t>
            </w:r>
            <w:r w:rsidR="002A54D0">
              <w:rPr>
                <w:color w:val="0D0D0D"/>
                <w:sz w:val="23"/>
                <w:szCs w:val="23"/>
              </w:rPr>
              <w:t xml:space="preserve">individual and group </w:t>
            </w:r>
            <w:r w:rsidR="00B03089">
              <w:rPr>
                <w:color w:val="0D0D0D"/>
                <w:sz w:val="23"/>
                <w:szCs w:val="23"/>
              </w:rPr>
              <w:t>parents’ meetings.</w:t>
            </w:r>
          </w:p>
        </w:tc>
      </w:tr>
      <w:tr w:rsidR="00E721B8" w14:paraId="797F73D9" w14:textId="77777777" w:rsidTr="002A70A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D2AC9" w14:textId="482E389C" w:rsidR="00E721B8" w:rsidRDefault="00E721B8" w:rsidP="00164743">
            <w:pPr>
              <w:pStyle w:val="Default"/>
              <w:numPr>
                <w:ilvl w:val="0"/>
                <w:numId w:val="1"/>
              </w:numPr>
              <w:rPr>
                <w:color w:val="0D0D0D"/>
                <w:sz w:val="23"/>
                <w:szCs w:val="23"/>
              </w:rPr>
            </w:pPr>
            <w:r>
              <w:rPr>
                <w:color w:val="0D0D0D"/>
                <w:sz w:val="23"/>
                <w:szCs w:val="23"/>
              </w:rPr>
              <w:t>To improve attendance and punctuality of all pupils, including disadvantaged groups.</w:t>
            </w: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F1A44" w14:textId="2EED6F5F" w:rsidR="00E721B8" w:rsidRDefault="00E721B8" w:rsidP="00164743">
            <w:pPr>
              <w:pStyle w:val="Default"/>
              <w:numPr>
                <w:ilvl w:val="0"/>
                <w:numId w:val="1"/>
              </w:numPr>
              <w:rPr>
                <w:color w:val="0D0D0D"/>
                <w:sz w:val="23"/>
                <w:szCs w:val="23"/>
              </w:rPr>
            </w:pPr>
            <w:r>
              <w:rPr>
                <w:color w:val="0D0D0D"/>
                <w:sz w:val="23"/>
                <w:szCs w:val="23"/>
              </w:rPr>
              <w:t>Attendance and punctuality of all pupils is in line with or exceeds national averages and the attendance of disadvantaged pupils is broadly in line with their peers.</w:t>
            </w:r>
          </w:p>
        </w:tc>
      </w:tr>
      <w:tr w:rsidR="00E66558" w14:paraId="2A7D550F" w14:textId="77777777" w:rsidTr="002A70AA">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3E4B7C9" w:rsidR="00E66558" w:rsidRPr="002A70AA" w:rsidRDefault="00164743" w:rsidP="002A70AA">
            <w:pPr>
              <w:pStyle w:val="Default"/>
              <w:numPr>
                <w:ilvl w:val="0"/>
                <w:numId w:val="1"/>
              </w:numPr>
              <w:rPr>
                <w:rFonts w:ascii="Times New Roman" w:hAnsi="Times New Roman"/>
                <w:color w:val="auto"/>
                <w:sz w:val="23"/>
                <w:szCs w:val="23"/>
              </w:rPr>
            </w:pPr>
            <w:r>
              <w:rPr>
                <w:color w:val="0D0D0D"/>
                <w:sz w:val="23"/>
                <w:szCs w:val="23"/>
              </w:rPr>
              <w:t xml:space="preserve">Pupil premium pupils are able to </w:t>
            </w:r>
            <w:r w:rsidR="005600E1">
              <w:rPr>
                <w:color w:val="0D0D0D"/>
                <w:sz w:val="23"/>
                <w:szCs w:val="23"/>
              </w:rPr>
              <w:t xml:space="preserve">improve and develop their skills </w:t>
            </w:r>
            <w:r>
              <w:rPr>
                <w:color w:val="0D0D0D"/>
                <w:sz w:val="23"/>
                <w:szCs w:val="23"/>
              </w:rPr>
              <w:t xml:space="preserve">and enhance their well-being through experiences beyond the classroom. </w:t>
            </w:r>
          </w:p>
        </w:tc>
        <w:tc>
          <w:tcPr>
            <w:tcW w:w="4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B357C3B" w:rsidR="00E66558" w:rsidRPr="002A70AA" w:rsidRDefault="005600E1" w:rsidP="002A70AA">
            <w:pPr>
              <w:pStyle w:val="Default"/>
              <w:numPr>
                <w:ilvl w:val="0"/>
                <w:numId w:val="1"/>
              </w:numPr>
              <w:rPr>
                <w:rFonts w:ascii="Times New Roman" w:hAnsi="Times New Roman"/>
                <w:color w:val="auto"/>
                <w:sz w:val="23"/>
                <w:szCs w:val="23"/>
              </w:rPr>
            </w:pPr>
            <w:r>
              <w:rPr>
                <w:color w:val="0D0D0D"/>
                <w:sz w:val="23"/>
                <w:szCs w:val="23"/>
              </w:rPr>
              <w:t>The uptake in places at after-school clubs for pupil premium pupils is in line with or exceeds that of their peers.</w:t>
            </w:r>
          </w:p>
        </w:tc>
      </w:tr>
    </w:tbl>
    <w:p w14:paraId="2A7D5512" w14:textId="788F4845" w:rsidR="00E66558" w:rsidRDefault="00120AB1" w:rsidP="002A54D0">
      <w:pPr>
        <w:suppressAutoHyphens w:val="0"/>
        <w:spacing w:after="0" w:line="240" w:lineRule="auto"/>
      </w:pPr>
      <w:r>
        <w:br w:type="page"/>
      </w:r>
      <w:r w:rsidR="009D71E8">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AFCDC42" w:rsidR="00E66558" w:rsidRDefault="009D71E8">
      <w:r>
        <w:t xml:space="preserve">Budgeted cost: </w:t>
      </w:r>
      <w:r w:rsidRPr="00780C0D">
        <w:t xml:space="preserve">£ </w:t>
      </w:r>
      <w:r w:rsidR="00926EDC">
        <w:t>78,480</w:t>
      </w:r>
    </w:p>
    <w:tbl>
      <w:tblPr>
        <w:tblW w:w="5000" w:type="pct"/>
        <w:tblCellMar>
          <w:left w:w="10" w:type="dxa"/>
          <w:right w:w="10" w:type="dxa"/>
        </w:tblCellMar>
        <w:tblLook w:val="04A0" w:firstRow="1" w:lastRow="0" w:firstColumn="1" w:lastColumn="0" w:noHBand="0" w:noVBand="1"/>
      </w:tblPr>
      <w:tblGrid>
        <w:gridCol w:w="2688"/>
        <w:gridCol w:w="5104"/>
        <w:gridCol w:w="1694"/>
      </w:tblGrid>
      <w:tr w:rsidR="00E66558" w14:paraId="2A7D5519" w14:textId="77777777" w:rsidTr="00A8562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A8562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4269" w14:textId="38081A1E" w:rsidR="005600E1" w:rsidRDefault="005600E1" w:rsidP="005600E1">
            <w:pPr>
              <w:pStyle w:val="Default"/>
              <w:numPr>
                <w:ilvl w:val="0"/>
                <w:numId w:val="1"/>
              </w:numPr>
              <w:rPr>
                <w:rFonts w:ascii="Times New Roman" w:hAnsi="Times New Roman"/>
                <w:color w:val="auto"/>
                <w:sz w:val="23"/>
                <w:szCs w:val="23"/>
              </w:rPr>
            </w:pPr>
            <w:r>
              <w:rPr>
                <w:color w:val="0D0D0D"/>
                <w:sz w:val="23"/>
                <w:szCs w:val="23"/>
              </w:rPr>
              <w:t xml:space="preserve">Secure quality first teaching to </w:t>
            </w:r>
            <w:r w:rsidR="00A85625">
              <w:rPr>
                <w:color w:val="0D0D0D"/>
                <w:sz w:val="23"/>
                <w:szCs w:val="23"/>
              </w:rPr>
              <w:t xml:space="preserve">close attainment gaps </w:t>
            </w:r>
            <w:r>
              <w:rPr>
                <w:color w:val="0D0D0D"/>
                <w:sz w:val="23"/>
                <w:szCs w:val="23"/>
              </w:rPr>
              <w:t xml:space="preserve">through </w:t>
            </w:r>
            <w:r w:rsidR="00333986">
              <w:rPr>
                <w:color w:val="0D0D0D"/>
                <w:sz w:val="23"/>
                <w:szCs w:val="23"/>
              </w:rPr>
              <w:t xml:space="preserve">   </w:t>
            </w:r>
            <w:r>
              <w:rPr>
                <w:color w:val="0D0D0D"/>
                <w:sz w:val="23"/>
                <w:szCs w:val="23"/>
              </w:rPr>
              <w:t xml:space="preserve">continued professional development for </w:t>
            </w:r>
            <w:r w:rsidR="00333986">
              <w:rPr>
                <w:color w:val="0D0D0D"/>
                <w:sz w:val="23"/>
                <w:szCs w:val="23"/>
              </w:rPr>
              <w:t xml:space="preserve">   </w:t>
            </w:r>
            <w:r>
              <w:rPr>
                <w:color w:val="0D0D0D"/>
                <w:sz w:val="23"/>
                <w:szCs w:val="23"/>
              </w:rPr>
              <w:t xml:space="preserve">teachers and support staff. </w:t>
            </w:r>
          </w:p>
          <w:p w14:paraId="2A7D551A" w14:textId="147D6386" w:rsidR="00E66558" w:rsidRDefault="00E66558">
            <w:pPr>
              <w:pStyle w:val="TableRow"/>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27F8" w14:textId="5ABD9BFC" w:rsidR="005600E1" w:rsidRDefault="005600E1" w:rsidP="005600E1">
            <w:pPr>
              <w:pStyle w:val="Default"/>
              <w:rPr>
                <w:color w:val="0D0D0D"/>
                <w:sz w:val="23"/>
                <w:szCs w:val="23"/>
              </w:rPr>
            </w:pPr>
            <w:r>
              <w:rPr>
                <w:color w:val="0D0D0D"/>
                <w:sz w:val="23"/>
                <w:szCs w:val="23"/>
              </w:rPr>
              <w:t xml:space="preserve">Education Endowment Foundation - Teaching and Learning Toolkit </w:t>
            </w:r>
          </w:p>
          <w:p w14:paraId="371607F6" w14:textId="77777777" w:rsidR="005600E1" w:rsidRDefault="005600E1" w:rsidP="005600E1">
            <w:pPr>
              <w:pStyle w:val="Default"/>
              <w:rPr>
                <w:sz w:val="23"/>
                <w:szCs w:val="23"/>
              </w:rPr>
            </w:pPr>
          </w:p>
          <w:p w14:paraId="558B0EA3" w14:textId="2CDB2CFB" w:rsidR="005600E1" w:rsidRDefault="005600E1" w:rsidP="005600E1">
            <w:pPr>
              <w:pStyle w:val="Default"/>
              <w:rPr>
                <w:color w:val="0D0D0D"/>
                <w:sz w:val="23"/>
                <w:szCs w:val="23"/>
              </w:rPr>
            </w:pPr>
            <w:r>
              <w:rPr>
                <w:color w:val="0D0D0D"/>
                <w:sz w:val="23"/>
                <w:szCs w:val="23"/>
              </w:rPr>
              <w:t xml:space="preserve">EEF Guide to pupil premium- Teaching is the top priority including CPD. </w:t>
            </w:r>
          </w:p>
          <w:p w14:paraId="4CCF5AA5" w14:textId="77777777" w:rsidR="005600E1" w:rsidRDefault="005600E1" w:rsidP="005600E1">
            <w:pPr>
              <w:pStyle w:val="Default"/>
              <w:rPr>
                <w:sz w:val="23"/>
                <w:szCs w:val="23"/>
              </w:rPr>
            </w:pPr>
          </w:p>
          <w:p w14:paraId="2A7D551B" w14:textId="34C369A7" w:rsidR="00E66558" w:rsidRPr="00264368" w:rsidRDefault="00777FEC" w:rsidP="00264368">
            <w:pPr>
              <w:pStyle w:val="Default"/>
              <w:numPr>
                <w:ilvl w:val="0"/>
                <w:numId w:val="1"/>
              </w:numPr>
              <w:rPr>
                <w:rFonts w:ascii="Times New Roman" w:hAnsi="Times New Roman"/>
                <w:color w:val="auto"/>
                <w:sz w:val="23"/>
                <w:szCs w:val="23"/>
              </w:rPr>
            </w:pPr>
            <w:r>
              <w:rPr>
                <w:color w:val="0D0D0D"/>
                <w:sz w:val="23"/>
                <w:szCs w:val="23"/>
              </w:rPr>
              <w:t>Quality first teaching is a focus in our aim for rapid progress</w:t>
            </w:r>
            <w:r w:rsidR="005600E1">
              <w:rPr>
                <w:color w:val="0D0D0D"/>
                <w:sz w:val="23"/>
                <w:szCs w:val="23"/>
              </w:rPr>
              <w:t xml:space="preserve"> (e.g. targeted teaching, stringent formative assessment habits, pedagogy rooted in cognitive science and careful planning).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392FA93" w:rsidR="00E66558" w:rsidRDefault="005254D4">
            <w:pPr>
              <w:pStyle w:val="TableRowCentered"/>
              <w:jc w:val="left"/>
              <w:rPr>
                <w:sz w:val="22"/>
              </w:rPr>
            </w:pPr>
            <w:r>
              <w:rPr>
                <w:sz w:val="22"/>
              </w:rPr>
              <w:t>1, 2, 3, 4</w:t>
            </w:r>
          </w:p>
        </w:tc>
      </w:tr>
      <w:tr w:rsidR="00E66558" w14:paraId="2A7D5521" w14:textId="77777777" w:rsidTr="00A8562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E87E" w14:textId="44AE8730" w:rsidR="005600E1" w:rsidRDefault="00D2317C" w:rsidP="005600E1">
            <w:pPr>
              <w:pStyle w:val="Default"/>
              <w:numPr>
                <w:ilvl w:val="0"/>
                <w:numId w:val="1"/>
              </w:numPr>
              <w:rPr>
                <w:rFonts w:ascii="Times New Roman" w:hAnsi="Times New Roman"/>
                <w:color w:val="auto"/>
                <w:sz w:val="23"/>
                <w:szCs w:val="23"/>
              </w:rPr>
            </w:pPr>
            <w:r>
              <w:rPr>
                <w:color w:val="0D0D0D"/>
                <w:sz w:val="23"/>
                <w:szCs w:val="23"/>
              </w:rPr>
              <w:t>Re-</w:t>
            </w:r>
            <w:r w:rsidR="005600E1">
              <w:rPr>
                <w:color w:val="0D0D0D"/>
                <w:sz w:val="23"/>
                <w:szCs w:val="23"/>
              </w:rPr>
              <w:t xml:space="preserve">visiting and </w:t>
            </w:r>
            <w:r w:rsidR="00333986">
              <w:rPr>
                <w:color w:val="0D0D0D"/>
                <w:sz w:val="23"/>
                <w:szCs w:val="23"/>
              </w:rPr>
              <w:t xml:space="preserve">      </w:t>
            </w:r>
            <w:r w:rsidR="005600E1">
              <w:rPr>
                <w:color w:val="0D0D0D"/>
                <w:sz w:val="23"/>
                <w:szCs w:val="23"/>
              </w:rPr>
              <w:t xml:space="preserve">practising newly taught skills until they are fully understood </w:t>
            </w:r>
          </w:p>
          <w:p w14:paraId="2A7D551E" w14:textId="77777777" w:rsidR="00E66558" w:rsidRDefault="00E66558">
            <w:pPr>
              <w:pStyle w:val="TableRow"/>
              <w:rPr>
                <w:i/>
                <w:sz w:val="22"/>
              </w:rPr>
            </w:pP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05ABB" w14:textId="77777777" w:rsidR="00D2317C" w:rsidRDefault="005600E1" w:rsidP="005600E1">
            <w:pPr>
              <w:pStyle w:val="Default"/>
              <w:rPr>
                <w:color w:val="0D0D0D"/>
                <w:sz w:val="23"/>
                <w:szCs w:val="23"/>
              </w:rPr>
            </w:pPr>
            <w:r>
              <w:rPr>
                <w:color w:val="0D0D0D"/>
                <w:sz w:val="23"/>
                <w:szCs w:val="23"/>
              </w:rPr>
              <w:t>Education Endowment Foundation - Teaching and Learning Toolkit</w:t>
            </w:r>
          </w:p>
          <w:p w14:paraId="507218AE" w14:textId="633C3DEB" w:rsidR="005600E1" w:rsidRDefault="005600E1" w:rsidP="005600E1">
            <w:pPr>
              <w:pStyle w:val="Default"/>
              <w:rPr>
                <w:sz w:val="23"/>
                <w:szCs w:val="23"/>
              </w:rPr>
            </w:pPr>
            <w:r>
              <w:rPr>
                <w:color w:val="0D0D0D"/>
                <w:sz w:val="23"/>
                <w:szCs w:val="23"/>
              </w:rPr>
              <w:t xml:space="preserve"> </w:t>
            </w:r>
          </w:p>
          <w:p w14:paraId="44299CCF" w14:textId="22617D10" w:rsidR="005600E1" w:rsidRDefault="00C645A8" w:rsidP="005600E1">
            <w:pPr>
              <w:pStyle w:val="Default"/>
              <w:rPr>
                <w:color w:val="0D0D0D"/>
                <w:sz w:val="23"/>
                <w:szCs w:val="23"/>
              </w:rPr>
            </w:pPr>
            <w:r>
              <w:rPr>
                <w:color w:val="0D0D0D"/>
                <w:sz w:val="23"/>
                <w:szCs w:val="23"/>
              </w:rPr>
              <w:t xml:space="preserve">Assessment data </w:t>
            </w:r>
            <w:r w:rsidR="005600E1">
              <w:rPr>
                <w:color w:val="0D0D0D"/>
                <w:sz w:val="23"/>
                <w:szCs w:val="23"/>
              </w:rPr>
              <w:t xml:space="preserve">and ongoing tracking and analysis throughout the academic year. </w:t>
            </w:r>
          </w:p>
          <w:p w14:paraId="2A7D551F" w14:textId="22E14BD1" w:rsidR="00E66558" w:rsidRDefault="00E66558" w:rsidP="003470BB">
            <w:pPr>
              <w:pStyle w:val="Defaul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D4A141A" w:rsidR="00E66558" w:rsidRDefault="005254D4">
            <w:pPr>
              <w:pStyle w:val="TableRowCentered"/>
              <w:jc w:val="left"/>
              <w:rPr>
                <w:sz w:val="22"/>
              </w:rPr>
            </w:pPr>
            <w:r>
              <w:rPr>
                <w:sz w:val="22"/>
              </w:rPr>
              <w:t>1, 2, 3, 4</w:t>
            </w:r>
          </w:p>
        </w:tc>
      </w:tr>
      <w:tr w:rsidR="00D90698" w14:paraId="0E9D8BC3" w14:textId="77777777" w:rsidTr="00A8562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D5BDF" w14:textId="3FDA3AB4" w:rsidR="00D90698" w:rsidRDefault="00D90698" w:rsidP="005600E1">
            <w:pPr>
              <w:pStyle w:val="Default"/>
              <w:numPr>
                <w:ilvl w:val="0"/>
                <w:numId w:val="1"/>
              </w:numPr>
              <w:rPr>
                <w:color w:val="0D0D0D"/>
                <w:sz w:val="23"/>
                <w:szCs w:val="23"/>
              </w:rPr>
            </w:pPr>
            <w:r>
              <w:rPr>
                <w:color w:val="0D0D0D"/>
                <w:sz w:val="23"/>
                <w:szCs w:val="23"/>
              </w:rPr>
              <w:t>High-quality CPD to support and motivate teachers and ensure retention remains high</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B57" w14:textId="77777777" w:rsidR="00D90698" w:rsidRDefault="00D90698" w:rsidP="00D90698">
            <w:pPr>
              <w:pStyle w:val="Default"/>
              <w:rPr>
                <w:color w:val="0D0D0D"/>
                <w:sz w:val="23"/>
                <w:szCs w:val="23"/>
              </w:rPr>
            </w:pPr>
            <w:r>
              <w:rPr>
                <w:color w:val="0D0D0D"/>
                <w:sz w:val="23"/>
                <w:szCs w:val="23"/>
              </w:rPr>
              <w:t xml:space="preserve">EEF Guide to pupil premium- Teaching is the top priority including CPD. </w:t>
            </w:r>
          </w:p>
          <w:p w14:paraId="024EE32A" w14:textId="77777777" w:rsidR="00D90698" w:rsidRDefault="00D90698" w:rsidP="005600E1">
            <w:pPr>
              <w:pStyle w:val="Default"/>
              <w:rPr>
                <w:color w:val="0D0D0D"/>
                <w:sz w:val="23"/>
                <w:szCs w:val="23"/>
              </w:rPr>
            </w:pPr>
          </w:p>
          <w:p w14:paraId="74FA611C" w14:textId="7C667978" w:rsidR="00D90698" w:rsidRDefault="00D90698" w:rsidP="005600E1">
            <w:pPr>
              <w:pStyle w:val="Default"/>
              <w:rPr>
                <w:color w:val="0D0D0D"/>
                <w:sz w:val="23"/>
                <w:szCs w:val="23"/>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6CFA" w14:textId="542319FD" w:rsidR="00D90698" w:rsidRDefault="00D90698">
            <w:pPr>
              <w:pStyle w:val="TableRowCentered"/>
              <w:jc w:val="left"/>
              <w:rPr>
                <w:sz w:val="22"/>
              </w:rPr>
            </w:pPr>
            <w:r>
              <w:rPr>
                <w:sz w:val="22"/>
              </w:rPr>
              <w:t>1, 2, 3, 4</w:t>
            </w:r>
          </w:p>
        </w:tc>
      </w:tr>
    </w:tbl>
    <w:p w14:paraId="2A7D5522" w14:textId="77777777" w:rsidR="00E66558" w:rsidRDefault="00E66558">
      <w:pPr>
        <w:keepNext/>
        <w:spacing w:after="60"/>
        <w:outlineLvl w:val="1"/>
      </w:pPr>
    </w:p>
    <w:p w14:paraId="524BC94F" w14:textId="382E31E7" w:rsidR="006F0A7E" w:rsidRDefault="006F0A7E">
      <w:pPr>
        <w:rPr>
          <w:b/>
          <w:bCs/>
          <w:color w:val="104F75"/>
          <w:sz w:val="28"/>
          <w:szCs w:val="28"/>
        </w:rPr>
      </w:pPr>
    </w:p>
    <w:p w14:paraId="5F3D405F" w14:textId="7D613643" w:rsidR="003470BB" w:rsidRDefault="003470BB">
      <w:pPr>
        <w:rPr>
          <w:b/>
          <w:bCs/>
          <w:color w:val="104F75"/>
          <w:sz w:val="28"/>
          <w:szCs w:val="28"/>
        </w:rPr>
      </w:pPr>
    </w:p>
    <w:p w14:paraId="156B97C3" w14:textId="610523DA" w:rsidR="003470BB" w:rsidRDefault="003470BB">
      <w:pPr>
        <w:rPr>
          <w:b/>
          <w:bCs/>
          <w:color w:val="104F75"/>
          <w:sz w:val="28"/>
          <w:szCs w:val="28"/>
        </w:rPr>
      </w:pPr>
    </w:p>
    <w:p w14:paraId="1D3D47F3" w14:textId="77777777" w:rsidR="003470BB" w:rsidRDefault="003470BB">
      <w:pPr>
        <w:rPr>
          <w:b/>
          <w:bCs/>
          <w:color w:val="104F75"/>
          <w:sz w:val="28"/>
          <w:szCs w:val="28"/>
        </w:rPr>
      </w:pPr>
    </w:p>
    <w:p w14:paraId="3E4BF4AA" w14:textId="01CA8D74" w:rsidR="006F0A7E" w:rsidRDefault="006F0A7E">
      <w:pPr>
        <w:rPr>
          <w:b/>
          <w:bCs/>
          <w:color w:val="104F75"/>
          <w:sz w:val="28"/>
          <w:szCs w:val="28"/>
        </w:rPr>
      </w:pPr>
    </w:p>
    <w:p w14:paraId="52A1574F" w14:textId="2171885C" w:rsidR="006F0A7E" w:rsidRDefault="006F0A7E">
      <w:pPr>
        <w:rPr>
          <w:b/>
          <w:bCs/>
          <w:color w:val="104F75"/>
          <w:sz w:val="28"/>
          <w:szCs w:val="28"/>
        </w:rPr>
      </w:pPr>
    </w:p>
    <w:p w14:paraId="1B89086B" w14:textId="5925F159" w:rsidR="006F0A7E" w:rsidRDefault="006F0A7E">
      <w:pPr>
        <w:rPr>
          <w:b/>
          <w:bCs/>
          <w:color w:val="104F75"/>
          <w:sz w:val="28"/>
          <w:szCs w:val="28"/>
        </w:rPr>
      </w:pPr>
    </w:p>
    <w:p w14:paraId="0BDF3293" w14:textId="5BD85BBC" w:rsidR="00A85625" w:rsidRDefault="00A85625">
      <w:pPr>
        <w:rPr>
          <w:b/>
          <w:bCs/>
          <w:color w:val="104F75"/>
          <w:sz w:val="28"/>
          <w:szCs w:val="28"/>
        </w:rPr>
      </w:pPr>
    </w:p>
    <w:p w14:paraId="2A7D5523" w14:textId="7D1934E5" w:rsidR="00E66558" w:rsidRDefault="009D71E8">
      <w:pPr>
        <w:rPr>
          <w:b/>
          <w:bCs/>
          <w:color w:val="104F75"/>
          <w:sz w:val="28"/>
          <w:szCs w:val="28"/>
        </w:rPr>
      </w:pPr>
      <w:r>
        <w:rPr>
          <w:b/>
          <w:bCs/>
          <w:color w:val="104F75"/>
          <w:sz w:val="28"/>
          <w:szCs w:val="28"/>
        </w:rPr>
        <w:t>Targeted</w:t>
      </w:r>
      <w:r w:rsidR="00264368">
        <w:rPr>
          <w:b/>
          <w:bCs/>
          <w:color w:val="104F75"/>
          <w:sz w:val="28"/>
          <w:szCs w:val="28"/>
        </w:rPr>
        <w:t xml:space="preserve"> academic support (for example, </w:t>
      </w:r>
      <w:r w:rsidR="00D33FE5">
        <w:rPr>
          <w:b/>
          <w:bCs/>
          <w:color w:val="104F75"/>
          <w:sz w:val="28"/>
          <w:szCs w:val="28"/>
        </w:rPr>
        <w:t xml:space="preserve">one-to-one support </w:t>
      </w:r>
      <w:r w:rsidR="00264368">
        <w:rPr>
          <w:b/>
          <w:bCs/>
          <w:color w:val="104F75"/>
          <w:sz w:val="28"/>
          <w:szCs w:val="28"/>
        </w:rPr>
        <w:t xml:space="preserve">and </w:t>
      </w:r>
      <w:r>
        <w:rPr>
          <w:b/>
          <w:bCs/>
          <w:color w:val="104F75"/>
          <w:sz w:val="28"/>
          <w:szCs w:val="28"/>
        </w:rPr>
        <w:t xml:space="preserve">structured </w:t>
      </w:r>
      <w:r w:rsidR="00264368">
        <w:rPr>
          <w:b/>
          <w:bCs/>
          <w:color w:val="104F75"/>
          <w:sz w:val="28"/>
          <w:szCs w:val="28"/>
        </w:rPr>
        <w:t xml:space="preserve">group </w:t>
      </w:r>
      <w:r>
        <w:rPr>
          <w:b/>
          <w:bCs/>
          <w:color w:val="104F75"/>
          <w:sz w:val="28"/>
          <w:szCs w:val="28"/>
        </w:rPr>
        <w:t xml:space="preserve">interventions) </w:t>
      </w:r>
    </w:p>
    <w:p w14:paraId="2A7D5524" w14:textId="6D1E1B29" w:rsidR="00E66558" w:rsidRDefault="009D71E8">
      <w:r>
        <w:t>Budgeted cost</w:t>
      </w:r>
      <w:r w:rsidRPr="00926EDC">
        <w:t xml:space="preserve">: £ </w:t>
      </w:r>
      <w:r w:rsidR="00777FEC" w:rsidRPr="00926EDC">
        <w:t>4</w:t>
      </w:r>
      <w:r w:rsidR="00926EDC">
        <w:t>2,060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A09A" w14:textId="70A025C7" w:rsidR="00D2317C" w:rsidRDefault="00D2317C" w:rsidP="00D2317C">
            <w:pPr>
              <w:pStyle w:val="Default"/>
              <w:numPr>
                <w:ilvl w:val="0"/>
                <w:numId w:val="1"/>
              </w:numPr>
              <w:rPr>
                <w:rFonts w:ascii="Times New Roman" w:hAnsi="Times New Roman"/>
                <w:color w:val="auto"/>
                <w:sz w:val="23"/>
                <w:szCs w:val="23"/>
              </w:rPr>
            </w:pPr>
            <w:r>
              <w:rPr>
                <w:color w:val="0D0D0D"/>
                <w:sz w:val="23"/>
                <w:szCs w:val="23"/>
              </w:rPr>
              <w:t xml:space="preserve">Fund specialist support to pupils who have SALT needs so that they can experience success in their </w:t>
            </w:r>
            <w:r w:rsidR="00333986">
              <w:rPr>
                <w:color w:val="0D0D0D"/>
                <w:sz w:val="23"/>
                <w:szCs w:val="23"/>
              </w:rPr>
              <w:t xml:space="preserve">     </w:t>
            </w:r>
            <w:r>
              <w:rPr>
                <w:color w:val="0D0D0D"/>
                <w:sz w:val="23"/>
                <w:szCs w:val="23"/>
              </w:rPr>
              <w:t xml:space="preserve">learning. </w:t>
            </w:r>
          </w:p>
          <w:p w14:paraId="2A7D5529" w14:textId="0CCA0648"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AE8D" w14:textId="45EB7B1B" w:rsidR="00D2317C" w:rsidRDefault="00D2317C" w:rsidP="00D2317C">
            <w:pPr>
              <w:pStyle w:val="Default"/>
              <w:rPr>
                <w:color w:val="0D0D0D"/>
                <w:sz w:val="23"/>
                <w:szCs w:val="23"/>
              </w:rPr>
            </w:pPr>
            <w:r>
              <w:rPr>
                <w:color w:val="0D0D0D"/>
                <w:sz w:val="23"/>
                <w:szCs w:val="23"/>
              </w:rPr>
              <w:t xml:space="preserve">Education Endowment Foundation - Teaching and Learning Toolkit </w:t>
            </w:r>
          </w:p>
          <w:p w14:paraId="75DE9E89" w14:textId="77777777" w:rsidR="00D2317C" w:rsidRDefault="00D2317C" w:rsidP="00D2317C">
            <w:pPr>
              <w:pStyle w:val="Default"/>
              <w:rPr>
                <w:sz w:val="23"/>
                <w:szCs w:val="23"/>
              </w:rPr>
            </w:pPr>
          </w:p>
          <w:p w14:paraId="37C04CDC" w14:textId="0799EA3C" w:rsidR="00D2317C" w:rsidRDefault="00777FEC" w:rsidP="00D2317C">
            <w:pPr>
              <w:pStyle w:val="Default"/>
              <w:rPr>
                <w:color w:val="0D0D0D"/>
                <w:sz w:val="23"/>
                <w:szCs w:val="23"/>
              </w:rPr>
            </w:pPr>
            <w:r>
              <w:rPr>
                <w:color w:val="0D0D0D"/>
                <w:sz w:val="23"/>
                <w:szCs w:val="23"/>
              </w:rPr>
              <w:t>School attainment and progress data</w:t>
            </w:r>
          </w:p>
          <w:p w14:paraId="4F682DE5" w14:textId="77777777" w:rsidR="00D2317C" w:rsidRDefault="00D2317C" w:rsidP="00D2317C">
            <w:pPr>
              <w:pStyle w:val="Default"/>
              <w:rPr>
                <w:sz w:val="23"/>
                <w:szCs w:val="23"/>
              </w:rPr>
            </w:pPr>
          </w:p>
          <w:p w14:paraId="675174A7" w14:textId="4E1D5628" w:rsidR="00D2317C" w:rsidRDefault="00D2317C" w:rsidP="00D2317C">
            <w:pPr>
              <w:pStyle w:val="Default"/>
              <w:numPr>
                <w:ilvl w:val="0"/>
                <w:numId w:val="1"/>
              </w:numPr>
              <w:rPr>
                <w:rFonts w:ascii="Times New Roman" w:hAnsi="Times New Roman"/>
                <w:color w:val="auto"/>
                <w:sz w:val="23"/>
                <w:szCs w:val="23"/>
              </w:rPr>
            </w:pPr>
            <w:r>
              <w:rPr>
                <w:color w:val="0D0D0D"/>
                <w:sz w:val="23"/>
                <w:szCs w:val="23"/>
              </w:rPr>
              <w:t xml:space="preserve">Speech and language support enables children with language and </w:t>
            </w:r>
            <w:r w:rsidR="00333986">
              <w:rPr>
                <w:color w:val="0D0D0D"/>
                <w:sz w:val="23"/>
                <w:szCs w:val="23"/>
              </w:rPr>
              <w:t xml:space="preserve">             </w:t>
            </w:r>
            <w:r>
              <w:rPr>
                <w:color w:val="0D0D0D"/>
                <w:sz w:val="23"/>
                <w:szCs w:val="23"/>
              </w:rPr>
              <w:t xml:space="preserve">communication difficulties to receive specialist input, and provides CPD for staff to be able support children with speech and language needs. </w:t>
            </w:r>
          </w:p>
          <w:p w14:paraId="2A7D552A" w14:textId="77777777" w:rsidR="00E66558" w:rsidRDefault="00E66558" w:rsidP="003470BB">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3236EA9" w:rsidR="00E66558" w:rsidRDefault="005254D4">
            <w:pPr>
              <w:pStyle w:val="TableRowCentered"/>
              <w:jc w:val="left"/>
              <w:rPr>
                <w:sz w:val="22"/>
              </w:rPr>
            </w:pPr>
            <w:r>
              <w:rPr>
                <w:sz w:val="22"/>
              </w:rPr>
              <w:lastRenderedPageBreak/>
              <w:t>1, 2, 3, 4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08CED" w14:textId="67436ADB" w:rsidR="00D2317C" w:rsidRDefault="00D2317C" w:rsidP="00D2317C">
            <w:pPr>
              <w:pStyle w:val="Default"/>
              <w:numPr>
                <w:ilvl w:val="0"/>
                <w:numId w:val="1"/>
              </w:numPr>
              <w:rPr>
                <w:rFonts w:ascii="Times New Roman" w:hAnsi="Times New Roman"/>
                <w:color w:val="auto"/>
                <w:sz w:val="23"/>
                <w:szCs w:val="23"/>
              </w:rPr>
            </w:pPr>
            <w:r>
              <w:rPr>
                <w:color w:val="0D0D0D"/>
                <w:sz w:val="23"/>
                <w:szCs w:val="23"/>
              </w:rPr>
              <w:t>Ensuring teaching      interventions</w:t>
            </w:r>
            <w:r w:rsidR="009C409E">
              <w:rPr>
                <w:color w:val="0D0D0D"/>
                <w:sz w:val="23"/>
                <w:szCs w:val="23"/>
              </w:rPr>
              <w:t xml:space="preserve"> are in place across the school, particularly phonics and pre-teaching</w:t>
            </w:r>
            <w:r>
              <w:rPr>
                <w:color w:val="0D0D0D"/>
                <w:sz w:val="23"/>
                <w:szCs w:val="23"/>
              </w:rPr>
              <w:t xml:space="preserve"> </w:t>
            </w:r>
          </w:p>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2837" w14:textId="55C47E3B" w:rsidR="00D2317C" w:rsidRDefault="00D2317C" w:rsidP="00D2317C">
            <w:pPr>
              <w:pStyle w:val="Default"/>
              <w:rPr>
                <w:color w:val="0D0D0D"/>
                <w:sz w:val="23"/>
                <w:szCs w:val="23"/>
              </w:rPr>
            </w:pPr>
            <w:r>
              <w:rPr>
                <w:color w:val="0D0D0D"/>
                <w:sz w:val="23"/>
                <w:szCs w:val="23"/>
              </w:rPr>
              <w:t xml:space="preserve">Education Endowment Foundation - Teaching and Learning Toolkit </w:t>
            </w:r>
          </w:p>
          <w:p w14:paraId="6E2B7DA4" w14:textId="77777777" w:rsidR="00D2317C" w:rsidRDefault="00D2317C" w:rsidP="00D2317C">
            <w:pPr>
              <w:pStyle w:val="Default"/>
              <w:rPr>
                <w:sz w:val="23"/>
                <w:szCs w:val="23"/>
              </w:rPr>
            </w:pPr>
          </w:p>
          <w:p w14:paraId="34AA9005" w14:textId="29D4580D" w:rsidR="00D2317C" w:rsidRDefault="00264368" w:rsidP="00D2317C">
            <w:pPr>
              <w:pStyle w:val="Default"/>
              <w:rPr>
                <w:color w:val="0D0D0D"/>
                <w:sz w:val="23"/>
                <w:szCs w:val="23"/>
              </w:rPr>
            </w:pPr>
            <w:r>
              <w:rPr>
                <w:color w:val="0D0D0D"/>
                <w:sz w:val="23"/>
                <w:szCs w:val="23"/>
              </w:rPr>
              <w:t>P</w:t>
            </w:r>
            <w:r w:rsidR="00D2317C">
              <w:rPr>
                <w:color w:val="0D0D0D"/>
                <w:sz w:val="23"/>
                <w:szCs w:val="23"/>
              </w:rPr>
              <w:t>upil progress meetings.</w:t>
            </w:r>
          </w:p>
          <w:p w14:paraId="39BECA8C" w14:textId="77777777" w:rsidR="00D2317C" w:rsidRDefault="00D2317C" w:rsidP="00D2317C">
            <w:pPr>
              <w:pStyle w:val="Default"/>
              <w:rPr>
                <w:color w:val="0D0D0D"/>
                <w:sz w:val="23"/>
                <w:szCs w:val="23"/>
              </w:rPr>
            </w:pPr>
          </w:p>
          <w:p w14:paraId="04CE197B" w14:textId="77777777" w:rsidR="00D2317C" w:rsidRDefault="00D2317C" w:rsidP="00D2317C">
            <w:pPr>
              <w:pStyle w:val="Default"/>
              <w:rPr>
                <w:color w:val="0D0D0D"/>
                <w:sz w:val="23"/>
                <w:szCs w:val="23"/>
              </w:rPr>
            </w:pPr>
            <w:r>
              <w:rPr>
                <w:color w:val="0D0D0D"/>
                <w:sz w:val="23"/>
                <w:szCs w:val="23"/>
              </w:rPr>
              <w:t>Assessment Data</w:t>
            </w:r>
          </w:p>
          <w:p w14:paraId="1929BE51" w14:textId="3AA270CC" w:rsidR="00D2317C" w:rsidRDefault="00D2317C" w:rsidP="00D2317C">
            <w:pPr>
              <w:pStyle w:val="Default"/>
              <w:rPr>
                <w:sz w:val="23"/>
                <w:szCs w:val="23"/>
              </w:rPr>
            </w:pPr>
            <w:r>
              <w:rPr>
                <w:color w:val="0D0D0D"/>
                <w:sz w:val="23"/>
                <w:szCs w:val="23"/>
              </w:rPr>
              <w:t xml:space="preserve"> </w:t>
            </w:r>
          </w:p>
          <w:p w14:paraId="7176F879" w14:textId="7DF26EA4" w:rsidR="00D2317C" w:rsidRDefault="00D2317C" w:rsidP="00D2317C">
            <w:pPr>
              <w:pStyle w:val="Default"/>
              <w:numPr>
                <w:ilvl w:val="0"/>
                <w:numId w:val="1"/>
              </w:numPr>
              <w:rPr>
                <w:rFonts w:ascii="Times New Roman" w:hAnsi="Times New Roman"/>
                <w:color w:val="auto"/>
                <w:sz w:val="23"/>
                <w:szCs w:val="23"/>
              </w:rPr>
            </w:pPr>
            <w:r>
              <w:rPr>
                <w:color w:val="0D0D0D"/>
                <w:sz w:val="23"/>
                <w:szCs w:val="23"/>
              </w:rPr>
              <w:t xml:space="preserve">Phonics approaches have been </w:t>
            </w:r>
            <w:r w:rsidR="00333986">
              <w:rPr>
                <w:color w:val="0D0D0D"/>
                <w:sz w:val="23"/>
                <w:szCs w:val="23"/>
              </w:rPr>
              <w:t xml:space="preserve">     </w:t>
            </w:r>
            <w:r>
              <w:rPr>
                <w:color w:val="0D0D0D"/>
                <w:sz w:val="23"/>
                <w:szCs w:val="23"/>
              </w:rPr>
              <w:t xml:space="preserve">consistently found to be effective in supporting younger readers to master the basics of reading (EEF). </w:t>
            </w:r>
          </w:p>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2A9032E" w:rsidR="00E66558" w:rsidRDefault="005254D4">
            <w:pPr>
              <w:pStyle w:val="TableRowCentered"/>
              <w:jc w:val="left"/>
              <w:rPr>
                <w:sz w:val="22"/>
              </w:rPr>
            </w:pPr>
            <w:r>
              <w:rPr>
                <w:sz w:val="22"/>
              </w:rPr>
              <w:t>1, 2, 3, 4</w:t>
            </w:r>
          </w:p>
        </w:tc>
      </w:tr>
      <w:tr w:rsidR="00D2317C" w14:paraId="0ADD93E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24A4" w14:textId="39BD981E" w:rsidR="00D2317C" w:rsidRDefault="00D2317C" w:rsidP="00D2317C">
            <w:pPr>
              <w:pStyle w:val="Default"/>
              <w:numPr>
                <w:ilvl w:val="0"/>
                <w:numId w:val="1"/>
              </w:numPr>
              <w:rPr>
                <w:rFonts w:ascii="Times New Roman" w:hAnsi="Times New Roman"/>
                <w:color w:val="auto"/>
                <w:sz w:val="23"/>
                <w:szCs w:val="23"/>
              </w:rPr>
            </w:pPr>
            <w:r>
              <w:rPr>
                <w:color w:val="0D0D0D"/>
                <w:sz w:val="23"/>
                <w:szCs w:val="23"/>
              </w:rPr>
              <w:t xml:space="preserve">To raise standards in reading </w:t>
            </w:r>
            <w:r w:rsidR="00D90698">
              <w:rPr>
                <w:color w:val="0D0D0D"/>
                <w:sz w:val="23"/>
                <w:szCs w:val="23"/>
              </w:rPr>
              <w:t>using the ALS phonics scheme, particularly for new starters in KS2</w:t>
            </w:r>
          </w:p>
          <w:p w14:paraId="69F2CDE6" w14:textId="77777777" w:rsidR="00D2317C" w:rsidRDefault="00D2317C" w:rsidP="00D2317C">
            <w:pPr>
              <w:pStyle w:val="Default"/>
              <w:numPr>
                <w:ilvl w:val="0"/>
                <w:numId w:val="1"/>
              </w:numPr>
              <w:rPr>
                <w:color w:val="0D0D0D"/>
                <w:sz w:val="23"/>
                <w:szCs w:val="23"/>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7EB7" w14:textId="231E4474" w:rsidR="00D2317C" w:rsidRDefault="00D2317C" w:rsidP="00D2317C">
            <w:pPr>
              <w:pStyle w:val="Default"/>
              <w:rPr>
                <w:color w:val="0D0D0D"/>
                <w:sz w:val="23"/>
                <w:szCs w:val="23"/>
              </w:rPr>
            </w:pPr>
            <w:r>
              <w:rPr>
                <w:color w:val="0D0D0D"/>
                <w:sz w:val="23"/>
                <w:szCs w:val="23"/>
              </w:rPr>
              <w:t xml:space="preserve">Education Endowment Foundation - Teaching and Learning Toolkit </w:t>
            </w:r>
          </w:p>
          <w:p w14:paraId="5B34DD2C" w14:textId="77777777" w:rsidR="00D2317C" w:rsidRDefault="00D2317C" w:rsidP="00D2317C">
            <w:pPr>
              <w:pStyle w:val="Default"/>
              <w:rPr>
                <w:sz w:val="23"/>
                <w:szCs w:val="23"/>
              </w:rPr>
            </w:pPr>
          </w:p>
          <w:p w14:paraId="0487B5BE" w14:textId="407DD835" w:rsidR="00777FEC" w:rsidRDefault="00777FEC" w:rsidP="00777FEC">
            <w:pPr>
              <w:pStyle w:val="Default"/>
              <w:rPr>
                <w:rFonts w:ascii="Times New Roman" w:hAnsi="Times New Roman"/>
                <w:color w:val="auto"/>
                <w:sz w:val="23"/>
                <w:szCs w:val="23"/>
              </w:rPr>
            </w:pPr>
            <w:r>
              <w:rPr>
                <w:color w:val="0D0D0D"/>
                <w:sz w:val="23"/>
                <w:szCs w:val="23"/>
              </w:rPr>
              <w:t>Internal data</w:t>
            </w:r>
          </w:p>
          <w:p w14:paraId="22D1DBB4" w14:textId="77777777" w:rsidR="00D2317C" w:rsidRDefault="00D2317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587D" w14:textId="6F86EFBB" w:rsidR="00D2317C" w:rsidRDefault="005254D4">
            <w:pPr>
              <w:pStyle w:val="TableRowCentered"/>
              <w:jc w:val="left"/>
              <w:rPr>
                <w:sz w:val="22"/>
              </w:rPr>
            </w:pPr>
            <w:r>
              <w:rPr>
                <w:sz w:val="22"/>
              </w:rPr>
              <w:t>1, 2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1B76F57" w:rsidR="00E66558" w:rsidRDefault="009D71E8">
      <w:pPr>
        <w:spacing w:before="240" w:after="120"/>
      </w:pPr>
      <w:r>
        <w:t>Budgeted cost</w:t>
      </w:r>
      <w:r w:rsidRPr="00231F7B">
        <w:t xml:space="preserve">: </w:t>
      </w:r>
      <w:r w:rsidR="00926EDC">
        <w:t>£ 18,580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FE01" w14:textId="77777777" w:rsidR="00E1772B" w:rsidRPr="00E1772B" w:rsidRDefault="00892C59" w:rsidP="00892C59">
            <w:pPr>
              <w:pStyle w:val="Default"/>
              <w:numPr>
                <w:ilvl w:val="0"/>
                <w:numId w:val="1"/>
              </w:numPr>
              <w:rPr>
                <w:rFonts w:ascii="Times New Roman" w:hAnsi="Times New Roman"/>
                <w:color w:val="auto"/>
                <w:sz w:val="23"/>
                <w:szCs w:val="23"/>
              </w:rPr>
            </w:pPr>
            <w:r>
              <w:rPr>
                <w:color w:val="0D0D0D"/>
                <w:sz w:val="23"/>
                <w:szCs w:val="23"/>
              </w:rPr>
              <w:t xml:space="preserve">To offer opportunities otherwise out of reach to PP pupils </w:t>
            </w:r>
            <w:r w:rsidR="00E1772B">
              <w:rPr>
                <w:color w:val="0D0D0D"/>
                <w:sz w:val="23"/>
                <w:szCs w:val="23"/>
              </w:rPr>
              <w:t>through enrichment</w:t>
            </w:r>
            <w:r w:rsidR="00A55EF0">
              <w:rPr>
                <w:color w:val="0D0D0D"/>
                <w:sz w:val="23"/>
                <w:szCs w:val="23"/>
              </w:rPr>
              <w:t xml:space="preserve"> activities</w:t>
            </w:r>
            <w:r w:rsidR="00E1772B">
              <w:rPr>
                <w:color w:val="0D0D0D"/>
                <w:sz w:val="23"/>
                <w:szCs w:val="23"/>
              </w:rPr>
              <w:t xml:space="preserve">, </w:t>
            </w:r>
          </w:p>
          <w:p w14:paraId="2A7D553C" w14:textId="5F3246B6" w:rsidR="00E66558" w:rsidRPr="00D90698" w:rsidRDefault="00E1772B" w:rsidP="00D90698">
            <w:pPr>
              <w:pStyle w:val="Default"/>
              <w:numPr>
                <w:ilvl w:val="0"/>
                <w:numId w:val="1"/>
              </w:numPr>
              <w:rPr>
                <w:rFonts w:ascii="Times New Roman" w:hAnsi="Times New Roman"/>
                <w:color w:val="auto"/>
                <w:sz w:val="23"/>
                <w:szCs w:val="23"/>
              </w:rPr>
            </w:pPr>
            <w:r>
              <w:rPr>
                <w:color w:val="0D0D0D"/>
                <w:sz w:val="23"/>
                <w:szCs w:val="23"/>
              </w:rPr>
              <w:t>including</w:t>
            </w:r>
            <w:r w:rsidR="00264368">
              <w:rPr>
                <w:color w:val="0D0D0D"/>
                <w:sz w:val="23"/>
                <w:szCs w:val="23"/>
              </w:rPr>
              <w:t xml:space="preserve"> after-school clubs and financial support for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30CA1" w14:textId="77777777" w:rsidR="00892C59" w:rsidRDefault="00892C59" w:rsidP="00892C59">
            <w:pPr>
              <w:pStyle w:val="Default"/>
              <w:rPr>
                <w:sz w:val="23"/>
                <w:szCs w:val="23"/>
              </w:rPr>
            </w:pPr>
            <w:r>
              <w:rPr>
                <w:color w:val="0D0D0D"/>
                <w:sz w:val="23"/>
                <w:szCs w:val="23"/>
              </w:rPr>
              <w:t xml:space="preserve">Education Endowment Foundation - Teaching and Learning Toolkit </w:t>
            </w:r>
          </w:p>
          <w:p w14:paraId="21A883E3" w14:textId="16D40F90" w:rsidR="00892C59" w:rsidRDefault="00892C59" w:rsidP="00892C59">
            <w:pPr>
              <w:pStyle w:val="Default"/>
              <w:rPr>
                <w:color w:val="0D0D0D"/>
                <w:sz w:val="23"/>
                <w:szCs w:val="23"/>
              </w:rPr>
            </w:pPr>
            <w:r>
              <w:rPr>
                <w:color w:val="0D0D0D"/>
                <w:sz w:val="23"/>
                <w:szCs w:val="23"/>
              </w:rPr>
              <w:t xml:space="preserve">Levelling up opportunities. </w:t>
            </w:r>
          </w:p>
          <w:p w14:paraId="6065CA72" w14:textId="77777777" w:rsidR="00A55EF0" w:rsidRDefault="00A55EF0" w:rsidP="00892C59">
            <w:pPr>
              <w:pStyle w:val="Default"/>
              <w:rPr>
                <w:color w:val="0D0D0D"/>
                <w:sz w:val="23"/>
                <w:szCs w:val="23"/>
              </w:rPr>
            </w:pPr>
          </w:p>
          <w:p w14:paraId="2A7D553D" w14:textId="743C429D" w:rsidR="00A55EF0" w:rsidRDefault="00A55EF0" w:rsidP="00A55EF0">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09BBD4A" w:rsidR="00A55EF0" w:rsidRDefault="005254D4">
            <w:pPr>
              <w:pStyle w:val="TableRowCentered"/>
              <w:jc w:val="left"/>
              <w:rPr>
                <w:sz w:val="22"/>
              </w:rPr>
            </w:pPr>
            <w:r>
              <w:rPr>
                <w:sz w:val="22"/>
              </w:rPr>
              <w:t>5, 7, 8</w:t>
            </w:r>
          </w:p>
          <w:p w14:paraId="5FE4B0BB" w14:textId="57812BA9" w:rsidR="00A55EF0" w:rsidRDefault="00A55EF0" w:rsidP="00A55EF0"/>
          <w:p w14:paraId="1174E69D" w14:textId="77777777" w:rsidR="00E66558" w:rsidRPr="00A55EF0" w:rsidRDefault="00E66558" w:rsidP="00A55EF0">
            <w:pPr>
              <w:jc w:val="center"/>
            </w:pPr>
          </w:p>
        </w:tc>
      </w:tr>
      <w:tr w:rsidR="00892C59" w14:paraId="439588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4E80" w14:textId="4EE251FD" w:rsidR="00892C59" w:rsidRDefault="00D90698" w:rsidP="00892C59">
            <w:pPr>
              <w:pStyle w:val="Default"/>
              <w:numPr>
                <w:ilvl w:val="0"/>
                <w:numId w:val="1"/>
              </w:numPr>
              <w:rPr>
                <w:rFonts w:ascii="Times New Roman" w:hAnsi="Times New Roman"/>
                <w:color w:val="auto"/>
                <w:sz w:val="23"/>
                <w:szCs w:val="23"/>
              </w:rPr>
            </w:pPr>
            <w:r>
              <w:rPr>
                <w:color w:val="0D0D0D"/>
                <w:sz w:val="23"/>
                <w:szCs w:val="23"/>
              </w:rPr>
              <w:t>Sustain excellent policies and practices related to attendance,</w:t>
            </w:r>
            <w:r w:rsidR="00264368">
              <w:rPr>
                <w:color w:val="0D0D0D"/>
                <w:sz w:val="23"/>
                <w:szCs w:val="23"/>
              </w:rPr>
              <w:t xml:space="preserve"> to </w:t>
            </w:r>
            <w:r w:rsidR="009C409E">
              <w:rPr>
                <w:color w:val="0D0D0D"/>
                <w:sz w:val="23"/>
                <w:szCs w:val="23"/>
              </w:rPr>
              <w:t>s</w:t>
            </w:r>
            <w:r>
              <w:rPr>
                <w:color w:val="0D0D0D"/>
                <w:sz w:val="23"/>
                <w:szCs w:val="23"/>
              </w:rPr>
              <w:t xml:space="preserve">ecure </w:t>
            </w:r>
            <w:r w:rsidR="00892C59">
              <w:rPr>
                <w:color w:val="0D0D0D"/>
                <w:sz w:val="23"/>
                <w:szCs w:val="23"/>
              </w:rPr>
              <w:t xml:space="preserve">good attendance </w:t>
            </w:r>
            <w:r w:rsidR="00777FEC">
              <w:rPr>
                <w:color w:val="0D0D0D"/>
                <w:sz w:val="23"/>
                <w:szCs w:val="23"/>
              </w:rPr>
              <w:t xml:space="preserve">for all pupils, particularly </w:t>
            </w:r>
            <w:r>
              <w:rPr>
                <w:color w:val="0D0D0D"/>
                <w:sz w:val="23"/>
                <w:szCs w:val="23"/>
              </w:rPr>
              <w:t>those who have previously been persistently absent</w:t>
            </w:r>
            <w:r w:rsidR="00A55EF0">
              <w:rPr>
                <w:color w:val="0D0D0D"/>
                <w:sz w:val="23"/>
                <w:szCs w:val="23"/>
              </w:rPr>
              <w:t xml:space="preserve"> </w:t>
            </w:r>
          </w:p>
          <w:p w14:paraId="41D6BBB9" w14:textId="77777777" w:rsidR="00892C59" w:rsidRDefault="00892C59" w:rsidP="00892C59">
            <w:pPr>
              <w:pStyle w:val="Default"/>
              <w:numPr>
                <w:ilvl w:val="0"/>
                <w:numId w:val="1"/>
              </w:numPr>
              <w:rPr>
                <w:color w:val="0D0D0D"/>
                <w:sz w:val="23"/>
                <w:szCs w:val="23"/>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67DD" w14:textId="14370C72" w:rsidR="00892C59" w:rsidRDefault="006D7BDE" w:rsidP="00892C59">
            <w:pPr>
              <w:pStyle w:val="Default"/>
              <w:rPr>
                <w:color w:val="0D0D0D"/>
                <w:sz w:val="23"/>
                <w:szCs w:val="23"/>
              </w:rPr>
            </w:pPr>
            <w:r>
              <w:rPr>
                <w:color w:val="0D0D0D"/>
                <w:sz w:val="23"/>
                <w:szCs w:val="23"/>
              </w:rPr>
              <w:t>School and national attendance data</w:t>
            </w:r>
          </w:p>
          <w:p w14:paraId="1EE527AA" w14:textId="77777777" w:rsidR="006D7BDE" w:rsidRDefault="006D7BDE" w:rsidP="00892C59">
            <w:pPr>
              <w:pStyle w:val="Default"/>
              <w:rPr>
                <w:color w:val="0D0D0D"/>
                <w:sz w:val="23"/>
                <w:szCs w:val="23"/>
              </w:rPr>
            </w:pPr>
          </w:p>
          <w:p w14:paraId="046557E4" w14:textId="77777777" w:rsidR="00892C59" w:rsidRDefault="00892C59" w:rsidP="00892C59">
            <w:pPr>
              <w:pStyle w:val="Default"/>
              <w:rPr>
                <w:sz w:val="23"/>
                <w:szCs w:val="23"/>
              </w:rPr>
            </w:pPr>
            <w:r>
              <w:rPr>
                <w:color w:val="0D0D0D"/>
                <w:sz w:val="23"/>
                <w:szCs w:val="23"/>
              </w:rPr>
              <w:t xml:space="preserve">Education Endowment Foundation - Teaching and Learning Toolkit </w:t>
            </w:r>
          </w:p>
          <w:p w14:paraId="3EE967B2" w14:textId="77777777" w:rsidR="00892C59" w:rsidRDefault="00892C59" w:rsidP="00892C59">
            <w:pPr>
              <w:pStyle w:val="Default"/>
              <w:numPr>
                <w:ilvl w:val="0"/>
                <w:numId w:val="1"/>
              </w:numPr>
              <w:rPr>
                <w:rFonts w:ascii="Times New Roman" w:hAnsi="Times New Roman"/>
                <w:sz w:val="23"/>
                <w:szCs w:val="23"/>
              </w:rPr>
            </w:pPr>
            <w:r>
              <w:rPr>
                <w:color w:val="0D0D0D"/>
                <w:sz w:val="23"/>
                <w:szCs w:val="23"/>
              </w:rPr>
              <w:t xml:space="preserve">Levelling up opportunities. </w:t>
            </w:r>
          </w:p>
          <w:p w14:paraId="65EC795A" w14:textId="77777777" w:rsidR="00892C59" w:rsidRDefault="00892C59" w:rsidP="00892C59">
            <w:pPr>
              <w:pStyle w:val="Default"/>
              <w:rPr>
                <w:color w:val="0D0D0D"/>
                <w:sz w:val="23"/>
                <w:szCs w:val="23"/>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AFC57" w14:textId="64223203" w:rsidR="00A55EF0" w:rsidRDefault="005254D4" w:rsidP="00A55EF0">
            <w:pPr>
              <w:pStyle w:val="TableRowCentered"/>
              <w:jc w:val="left"/>
              <w:rPr>
                <w:sz w:val="22"/>
              </w:rPr>
            </w:pPr>
            <w:r>
              <w:rPr>
                <w:sz w:val="22"/>
              </w:rPr>
              <w:t>5, 6</w:t>
            </w:r>
          </w:p>
          <w:p w14:paraId="3BF86709" w14:textId="77777777" w:rsidR="00892C59" w:rsidRDefault="00892C59">
            <w:pPr>
              <w:pStyle w:val="TableRowCentered"/>
              <w:jc w:val="left"/>
              <w:rPr>
                <w:sz w:val="22"/>
              </w:rPr>
            </w:pPr>
          </w:p>
        </w:tc>
      </w:tr>
      <w:tr w:rsidR="00892C59" w14:paraId="57BFF34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18B2" w14:textId="70F37D8F" w:rsidR="00892C59" w:rsidRPr="00333986" w:rsidRDefault="00892C59" w:rsidP="009C409E">
            <w:pPr>
              <w:pStyle w:val="Default"/>
              <w:numPr>
                <w:ilvl w:val="0"/>
                <w:numId w:val="1"/>
              </w:numPr>
              <w:rPr>
                <w:rFonts w:ascii="Times New Roman" w:hAnsi="Times New Roman"/>
                <w:color w:val="auto"/>
                <w:sz w:val="23"/>
                <w:szCs w:val="23"/>
              </w:rPr>
            </w:pPr>
            <w:r>
              <w:rPr>
                <w:color w:val="0D0D0D"/>
                <w:sz w:val="23"/>
                <w:szCs w:val="23"/>
              </w:rPr>
              <w:lastRenderedPageBreak/>
              <w:t xml:space="preserve">Provide support </w:t>
            </w:r>
            <w:r w:rsidR="00A55EF0">
              <w:rPr>
                <w:color w:val="0D0D0D"/>
                <w:sz w:val="23"/>
                <w:szCs w:val="23"/>
              </w:rPr>
              <w:t>and   resources for</w:t>
            </w:r>
            <w:r>
              <w:rPr>
                <w:color w:val="0D0D0D"/>
                <w:sz w:val="23"/>
                <w:szCs w:val="23"/>
              </w:rPr>
              <w:t xml:space="preserve"> vulnerable pupils and families to ensure access to </w:t>
            </w:r>
            <w:r w:rsidR="00A55EF0">
              <w:rPr>
                <w:color w:val="0D0D0D"/>
                <w:sz w:val="23"/>
                <w:szCs w:val="23"/>
              </w:rPr>
              <w:t xml:space="preserve">    </w:t>
            </w:r>
            <w:r>
              <w:rPr>
                <w:color w:val="0D0D0D"/>
                <w:sz w:val="23"/>
                <w:szCs w:val="23"/>
              </w:rPr>
              <w:t xml:space="preserve">learning, engagement in school community and encourage lifelong </w:t>
            </w:r>
            <w:r w:rsidR="00A55EF0">
              <w:rPr>
                <w:color w:val="0D0D0D"/>
                <w:sz w:val="23"/>
                <w:szCs w:val="23"/>
              </w:rPr>
              <w:t xml:space="preserve">   habits of learning.  For example, </w:t>
            </w:r>
            <w:r w:rsidR="00333986">
              <w:rPr>
                <w:color w:val="0D0D0D"/>
                <w:sz w:val="23"/>
                <w:szCs w:val="23"/>
              </w:rPr>
              <w:t>providi</w:t>
            </w:r>
            <w:r w:rsidR="00A55EF0">
              <w:rPr>
                <w:color w:val="0D0D0D"/>
                <w:sz w:val="23"/>
                <w:szCs w:val="23"/>
              </w:rPr>
              <w:t xml:space="preserve">ng workshops for parents, purchasing apps for home learning and providing books and other learning </w:t>
            </w:r>
            <w:r w:rsidR="00333986">
              <w:rPr>
                <w:color w:val="0D0D0D"/>
                <w:sz w:val="23"/>
                <w:szCs w:val="23"/>
              </w:rPr>
              <w:t xml:space="preserve">     resources where        required.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B5520" w14:textId="7BF7AC16" w:rsidR="00892C59" w:rsidRDefault="006D7BDE" w:rsidP="00892C59">
            <w:pPr>
              <w:pStyle w:val="Default"/>
              <w:rPr>
                <w:color w:val="0D0D0D"/>
                <w:sz w:val="23"/>
                <w:szCs w:val="23"/>
              </w:rPr>
            </w:pPr>
            <w:r>
              <w:rPr>
                <w:color w:val="0D0D0D"/>
                <w:sz w:val="23"/>
                <w:szCs w:val="23"/>
              </w:rPr>
              <w:t>School data and observations.</w:t>
            </w:r>
          </w:p>
          <w:p w14:paraId="6791D48E" w14:textId="77777777" w:rsidR="006D7BDE" w:rsidRDefault="006D7BDE" w:rsidP="00892C59">
            <w:pPr>
              <w:pStyle w:val="Default"/>
              <w:rPr>
                <w:color w:val="0D0D0D"/>
                <w:sz w:val="23"/>
                <w:szCs w:val="23"/>
              </w:rPr>
            </w:pPr>
          </w:p>
          <w:p w14:paraId="3A1D80EC" w14:textId="7477802C" w:rsidR="00892C59" w:rsidRDefault="00892C59" w:rsidP="00892C59">
            <w:pPr>
              <w:pStyle w:val="Default"/>
              <w:rPr>
                <w:color w:val="0D0D0D"/>
                <w:sz w:val="23"/>
                <w:szCs w:val="23"/>
              </w:rPr>
            </w:pPr>
            <w:r>
              <w:rPr>
                <w:color w:val="0D0D0D"/>
                <w:sz w:val="23"/>
                <w:szCs w:val="23"/>
              </w:rPr>
              <w:t xml:space="preserve">There is a strong association between parental engagement and a child’s academic success (EEF). </w:t>
            </w:r>
          </w:p>
          <w:p w14:paraId="277D10C5" w14:textId="77777777" w:rsidR="006D7BDE" w:rsidRDefault="006D7BDE" w:rsidP="00892C59">
            <w:pPr>
              <w:pStyle w:val="Default"/>
              <w:rPr>
                <w:sz w:val="23"/>
                <w:szCs w:val="23"/>
              </w:rPr>
            </w:pPr>
          </w:p>
          <w:p w14:paraId="18E79E7A" w14:textId="77777777" w:rsidR="00892C59" w:rsidRDefault="00892C59" w:rsidP="00892C59">
            <w:pPr>
              <w:pStyle w:val="Default"/>
              <w:rPr>
                <w:sz w:val="23"/>
                <w:szCs w:val="23"/>
              </w:rPr>
            </w:pPr>
            <w:r>
              <w:rPr>
                <w:color w:val="0D0D0D"/>
                <w:sz w:val="23"/>
                <w:szCs w:val="23"/>
              </w:rPr>
              <w:t xml:space="preserve">Education Endowment Foundation - Teaching and Learning Toolkit </w:t>
            </w:r>
          </w:p>
          <w:p w14:paraId="08B75F67" w14:textId="77777777" w:rsidR="00892C59" w:rsidRDefault="00892C59" w:rsidP="00892C59">
            <w:pPr>
              <w:pStyle w:val="Default"/>
              <w:numPr>
                <w:ilvl w:val="0"/>
                <w:numId w:val="1"/>
              </w:numPr>
              <w:rPr>
                <w:rFonts w:ascii="Times New Roman" w:hAnsi="Times New Roman"/>
                <w:sz w:val="23"/>
                <w:szCs w:val="23"/>
              </w:rPr>
            </w:pPr>
            <w:r>
              <w:rPr>
                <w:color w:val="0D0D0D"/>
                <w:sz w:val="23"/>
                <w:szCs w:val="23"/>
              </w:rPr>
              <w:t xml:space="preserve">Levelling up opportunities. </w:t>
            </w:r>
          </w:p>
          <w:p w14:paraId="2CEE3630" w14:textId="77777777" w:rsidR="00892C59" w:rsidRDefault="00892C59" w:rsidP="00892C59">
            <w:pPr>
              <w:pStyle w:val="Default"/>
              <w:rPr>
                <w:color w:val="0D0D0D"/>
                <w:sz w:val="23"/>
                <w:szCs w:val="23"/>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FC1F" w14:textId="4A5946B0" w:rsidR="00A55EF0" w:rsidRDefault="005254D4" w:rsidP="00A55EF0">
            <w:pPr>
              <w:pStyle w:val="TableRowCentered"/>
              <w:jc w:val="left"/>
              <w:rPr>
                <w:sz w:val="22"/>
              </w:rPr>
            </w:pPr>
            <w:r>
              <w:rPr>
                <w:sz w:val="22"/>
              </w:rPr>
              <w:t>5, 6, 7, 8</w:t>
            </w:r>
          </w:p>
          <w:p w14:paraId="49A19AE4" w14:textId="77777777" w:rsidR="00892C59" w:rsidRDefault="00892C59">
            <w:pPr>
              <w:pStyle w:val="TableRowCentered"/>
              <w:jc w:val="left"/>
              <w:rPr>
                <w:sz w:val="22"/>
              </w:rPr>
            </w:pPr>
          </w:p>
        </w:tc>
      </w:tr>
      <w:tr w:rsidR="00D90698" w14:paraId="14D8E96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4BDD" w14:textId="63F83356" w:rsidR="00D90698" w:rsidRDefault="00D90698" w:rsidP="009C409E">
            <w:pPr>
              <w:pStyle w:val="Default"/>
              <w:numPr>
                <w:ilvl w:val="0"/>
                <w:numId w:val="1"/>
              </w:numPr>
              <w:rPr>
                <w:color w:val="0D0D0D"/>
                <w:sz w:val="23"/>
                <w:szCs w:val="23"/>
              </w:rPr>
            </w:pPr>
            <w:r>
              <w:rPr>
                <w:color w:val="0D0D0D"/>
                <w:sz w:val="23"/>
                <w:szCs w:val="23"/>
              </w:rPr>
              <w:t>Provide support for families of pre-school children at the application and pre-admission stage, to help with preparing children for Nursery or Reception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CAAC" w14:textId="77777777" w:rsidR="00D90698" w:rsidRDefault="00D90698" w:rsidP="00892C59">
            <w:pPr>
              <w:pStyle w:val="Default"/>
              <w:rPr>
                <w:color w:val="0D0D0D"/>
                <w:sz w:val="23"/>
                <w:szCs w:val="23"/>
              </w:rPr>
            </w:pPr>
            <w:r>
              <w:rPr>
                <w:color w:val="0D0D0D"/>
                <w:sz w:val="23"/>
                <w:szCs w:val="23"/>
              </w:rPr>
              <w:t>EEF Early Years Toolkit</w:t>
            </w:r>
          </w:p>
          <w:p w14:paraId="31BB60B7" w14:textId="77777777" w:rsidR="00D90698" w:rsidRDefault="00D90698" w:rsidP="00892C59">
            <w:pPr>
              <w:pStyle w:val="Default"/>
              <w:rPr>
                <w:color w:val="0D0D0D"/>
                <w:sz w:val="23"/>
                <w:szCs w:val="23"/>
              </w:rPr>
            </w:pPr>
          </w:p>
          <w:p w14:paraId="258F3421" w14:textId="03F39887" w:rsidR="00D90698" w:rsidRDefault="00D90698" w:rsidP="00892C59">
            <w:pPr>
              <w:pStyle w:val="Default"/>
              <w:rPr>
                <w:color w:val="0D0D0D"/>
                <w:sz w:val="23"/>
                <w:szCs w:val="23"/>
              </w:rPr>
            </w:pPr>
            <w:r>
              <w:rPr>
                <w:color w:val="0D0D0D"/>
                <w:sz w:val="23"/>
                <w:szCs w:val="23"/>
              </w:rPr>
              <w:t>Research on low starting points, including ‘An Evidence-Based Approach to supporting children in the pre-school years.’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F9D79" w14:textId="28355D82" w:rsidR="00D90698" w:rsidRDefault="00D90698" w:rsidP="00A55EF0">
            <w:pPr>
              <w:pStyle w:val="TableRowCentered"/>
              <w:jc w:val="left"/>
              <w:rPr>
                <w:sz w:val="22"/>
              </w:rPr>
            </w:pPr>
            <w:r>
              <w:rPr>
                <w:sz w:val="22"/>
              </w:rPr>
              <w:t>9</w:t>
            </w:r>
          </w:p>
        </w:tc>
      </w:tr>
    </w:tbl>
    <w:p w14:paraId="6E38B4AE" w14:textId="77777777" w:rsidR="00333986" w:rsidRDefault="00333986" w:rsidP="00120AB1">
      <w:pPr>
        <w:rPr>
          <w:b/>
          <w:bCs/>
          <w:color w:val="104F75"/>
          <w:sz w:val="28"/>
          <w:szCs w:val="28"/>
        </w:rPr>
      </w:pPr>
    </w:p>
    <w:p w14:paraId="2A7D5541" w14:textId="08113B76" w:rsidR="00E66558" w:rsidRDefault="009D71E8" w:rsidP="00120AB1">
      <w:r>
        <w:rPr>
          <w:b/>
          <w:bCs/>
          <w:color w:val="104F75"/>
          <w:sz w:val="28"/>
          <w:szCs w:val="28"/>
        </w:rPr>
        <w:t xml:space="preserve">Total budgeted cost: </w:t>
      </w:r>
      <w:r w:rsidRPr="00926EDC">
        <w:rPr>
          <w:b/>
          <w:bCs/>
          <w:color w:val="104F75"/>
          <w:sz w:val="28"/>
          <w:szCs w:val="28"/>
        </w:rPr>
        <w:t xml:space="preserve">£ </w:t>
      </w:r>
      <w:r w:rsidR="00264368" w:rsidRPr="00926EDC">
        <w:rPr>
          <w:b/>
          <w:bCs/>
          <w:color w:val="104F75"/>
          <w:sz w:val="28"/>
          <w:szCs w:val="28"/>
        </w:rPr>
        <w:t>1</w:t>
      </w:r>
      <w:r w:rsidR="00926EDC">
        <w:rPr>
          <w:b/>
          <w:bCs/>
          <w:color w:val="104F75"/>
          <w:sz w:val="28"/>
          <w:szCs w:val="28"/>
        </w:rPr>
        <w:t>39</w:t>
      </w:r>
      <w:r w:rsidR="00264368" w:rsidRPr="00926EDC">
        <w:rPr>
          <w:b/>
          <w:bCs/>
          <w:color w:val="104F75"/>
          <w:sz w:val="28"/>
          <w:szCs w:val="28"/>
        </w:rPr>
        <w:t>,</w:t>
      </w:r>
      <w:r w:rsidR="00880992">
        <w:rPr>
          <w:b/>
          <w:bCs/>
          <w:color w:val="104F75"/>
          <w:sz w:val="28"/>
          <w:szCs w:val="28"/>
        </w:rPr>
        <w:t>120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2EBD36B" w:rsidR="00E66558" w:rsidRDefault="009D71E8">
      <w:r>
        <w:t xml:space="preserve">This details the impact that our pupil premium activity had on pupils in the </w:t>
      </w:r>
      <w:r w:rsidR="00212FCE">
        <w:t>2023-24</w:t>
      </w:r>
      <w:r w:rsidR="00C645A8">
        <w:t xml:space="preserve"> </w:t>
      </w:r>
      <w:r>
        <w:t xml:space="preserve">academic year. </w:t>
      </w:r>
    </w:p>
    <w:p w14:paraId="29653C57" w14:textId="782B62E2" w:rsidR="005254D4" w:rsidRPr="003470BB" w:rsidRDefault="005254D4" w:rsidP="003470BB">
      <w:pPr>
        <w:spacing w:line="240" w:lineRule="auto"/>
        <w:rPr>
          <w:b/>
          <w:sz w:val="22"/>
          <w:szCs w:val="22"/>
          <w:u w:val="single"/>
        </w:rPr>
      </w:pPr>
      <w:r w:rsidRPr="003470BB">
        <w:rPr>
          <w:b/>
          <w:sz w:val="22"/>
          <w:szCs w:val="22"/>
          <w:u w:val="single"/>
        </w:rPr>
        <w:t>Attendance information</w:t>
      </w:r>
    </w:p>
    <w:tbl>
      <w:tblPr>
        <w:tblStyle w:val="TableGrid"/>
        <w:tblW w:w="0" w:type="auto"/>
        <w:tblLook w:val="04A0" w:firstRow="1" w:lastRow="0" w:firstColumn="1" w:lastColumn="0" w:noHBand="0" w:noVBand="1"/>
      </w:tblPr>
      <w:tblGrid>
        <w:gridCol w:w="2972"/>
        <w:gridCol w:w="2977"/>
        <w:gridCol w:w="3537"/>
      </w:tblGrid>
      <w:tr w:rsidR="00CC042A" w:rsidRPr="003470BB" w14:paraId="0EBDC065" w14:textId="77777777" w:rsidTr="003470BB">
        <w:tc>
          <w:tcPr>
            <w:tcW w:w="2972" w:type="dxa"/>
          </w:tcPr>
          <w:p w14:paraId="5D1AC724" w14:textId="734A0539" w:rsidR="00CC042A" w:rsidRPr="003470BB" w:rsidRDefault="00CC042A" w:rsidP="003470BB">
            <w:pPr>
              <w:spacing w:line="240" w:lineRule="auto"/>
              <w:rPr>
                <w:b/>
                <w:sz w:val="22"/>
                <w:szCs w:val="22"/>
              </w:rPr>
            </w:pPr>
            <w:r w:rsidRPr="003470BB">
              <w:rPr>
                <w:b/>
                <w:sz w:val="22"/>
                <w:szCs w:val="22"/>
              </w:rPr>
              <w:t>Attendance Information</w:t>
            </w:r>
          </w:p>
        </w:tc>
        <w:tc>
          <w:tcPr>
            <w:tcW w:w="6514" w:type="dxa"/>
            <w:gridSpan w:val="2"/>
          </w:tcPr>
          <w:p w14:paraId="001DB537" w14:textId="4DA45F6F" w:rsidR="00CC042A" w:rsidRPr="003470BB" w:rsidRDefault="00212FCE" w:rsidP="003470BB">
            <w:pPr>
              <w:spacing w:line="240" w:lineRule="auto"/>
              <w:rPr>
                <w:b/>
                <w:sz w:val="22"/>
                <w:szCs w:val="22"/>
              </w:rPr>
            </w:pPr>
            <w:r w:rsidRPr="003470BB">
              <w:rPr>
                <w:b/>
                <w:sz w:val="22"/>
                <w:szCs w:val="22"/>
              </w:rPr>
              <w:t>2023-24</w:t>
            </w:r>
          </w:p>
        </w:tc>
      </w:tr>
      <w:tr w:rsidR="004F5BFF" w:rsidRPr="003470BB" w14:paraId="4DB1A943" w14:textId="77777777" w:rsidTr="003470BB">
        <w:tc>
          <w:tcPr>
            <w:tcW w:w="2972" w:type="dxa"/>
          </w:tcPr>
          <w:p w14:paraId="5C4ADEED" w14:textId="77777777" w:rsidR="004F5BFF" w:rsidRPr="003470BB" w:rsidRDefault="004F5BFF" w:rsidP="003470BB">
            <w:pPr>
              <w:spacing w:line="240" w:lineRule="auto"/>
              <w:rPr>
                <w:b/>
                <w:sz w:val="22"/>
                <w:szCs w:val="22"/>
              </w:rPr>
            </w:pPr>
          </w:p>
        </w:tc>
        <w:tc>
          <w:tcPr>
            <w:tcW w:w="2977" w:type="dxa"/>
          </w:tcPr>
          <w:p w14:paraId="3F5701EA" w14:textId="4453AACC" w:rsidR="004F5BFF" w:rsidRPr="003470BB" w:rsidRDefault="004F5BFF" w:rsidP="003470BB">
            <w:pPr>
              <w:spacing w:line="240" w:lineRule="auto"/>
              <w:rPr>
                <w:b/>
                <w:sz w:val="22"/>
                <w:szCs w:val="22"/>
              </w:rPr>
            </w:pPr>
            <w:r w:rsidRPr="003470BB">
              <w:rPr>
                <w:b/>
                <w:sz w:val="22"/>
                <w:szCs w:val="22"/>
              </w:rPr>
              <w:t>Disadvantaged pupils</w:t>
            </w:r>
            <w:r w:rsidR="00CC042A" w:rsidRPr="003470BB">
              <w:rPr>
                <w:b/>
                <w:sz w:val="22"/>
                <w:szCs w:val="22"/>
              </w:rPr>
              <w:t xml:space="preserve"> </w:t>
            </w:r>
          </w:p>
        </w:tc>
        <w:tc>
          <w:tcPr>
            <w:tcW w:w="3537" w:type="dxa"/>
          </w:tcPr>
          <w:p w14:paraId="07F1435B" w14:textId="22EA102C" w:rsidR="004F5BFF" w:rsidRPr="003470BB" w:rsidRDefault="004F5BFF" w:rsidP="003470BB">
            <w:pPr>
              <w:spacing w:line="240" w:lineRule="auto"/>
              <w:rPr>
                <w:b/>
                <w:sz w:val="22"/>
                <w:szCs w:val="22"/>
              </w:rPr>
            </w:pPr>
            <w:r w:rsidRPr="003470BB">
              <w:rPr>
                <w:b/>
                <w:sz w:val="22"/>
                <w:szCs w:val="22"/>
              </w:rPr>
              <w:t>Non-disadvantaged pupils</w:t>
            </w:r>
          </w:p>
        </w:tc>
      </w:tr>
      <w:tr w:rsidR="004F5BFF" w:rsidRPr="003470BB" w14:paraId="33EA60CE" w14:textId="77777777" w:rsidTr="003470BB">
        <w:tc>
          <w:tcPr>
            <w:tcW w:w="2972" w:type="dxa"/>
          </w:tcPr>
          <w:p w14:paraId="363D5232" w14:textId="5EA3DB52" w:rsidR="004F5BFF" w:rsidRPr="003470BB" w:rsidRDefault="004F5BFF" w:rsidP="003470BB">
            <w:pPr>
              <w:spacing w:line="240" w:lineRule="auto"/>
              <w:rPr>
                <w:b/>
                <w:sz w:val="22"/>
                <w:szCs w:val="22"/>
              </w:rPr>
            </w:pPr>
            <w:r w:rsidRPr="003470BB">
              <w:rPr>
                <w:b/>
                <w:sz w:val="22"/>
                <w:szCs w:val="22"/>
              </w:rPr>
              <w:t>Overall attendance</w:t>
            </w:r>
          </w:p>
        </w:tc>
        <w:tc>
          <w:tcPr>
            <w:tcW w:w="2977" w:type="dxa"/>
          </w:tcPr>
          <w:p w14:paraId="69870BF9" w14:textId="6625FC84" w:rsidR="004F5BFF" w:rsidRPr="003470BB" w:rsidRDefault="00212FCE" w:rsidP="003470BB">
            <w:pPr>
              <w:spacing w:line="240" w:lineRule="auto"/>
              <w:rPr>
                <w:sz w:val="22"/>
                <w:szCs w:val="22"/>
              </w:rPr>
            </w:pPr>
            <w:r w:rsidRPr="003470BB">
              <w:rPr>
                <w:sz w:val="22"/>
                <w:szCs w:val="22"/>
              </w:rPr>
              <w:t>94.0%</w:t>
            </w:r>
          </w:p>
        </w:tc>
        <w:tc>
          <w:tcPr>
            <w:tcW w:w="3537" w:type="dxa"/>
          </w:tcPr>
          <w:p w14:paraId="7CE3380E" w14:textId="3071E934" w:rsidR="004F5BFF" w:rsidRPr="003470BB" w:rsidRDefault="00212FCE" w:rsidP="003470BB">
            <w:pPr>
              <w:spacing w:line="240" w:lineRule="auto"/>
              <w:rPr>
                <w:sz w:val="22"/>
                <w:szCs w:val="22"/>
              </w:rPr>
            </w:pPr>
            <w:r w:rsidRPr="003470BB">
              <w:rPr>
                <w:sz w:val="22"/>
                <w:szCs w:val="22"/>
              </w:rPr>
              <w:t>94.3%</w:t>
            </w:r>
          </w:p>
        </w:tc>
      </w:tr>
      <w:tr w:rsidR="00264368" w:rsidRPr="003470BB" w14:paraId="7125B14D" w14:textId="77777777" w:rsidTr="003470BB">
        <w:tc>
          <w:tcPr>
            <w:tcW w:w="2972" w:type="dxa"/>
          </w:tcPr>
          <w:p w14:paraId="0035A3F7" w14:textId="701157BB" w:rsidR="00264368" w:rsidRPr="003470BB" w:rsidRDefault="00264368" w:rsidP="003470BB">
            <w:pPr>
              <w:spacing w:line="240" w:lineRule="auto"/>
              <w:rPr>
                <w:b/>
                <w:sz w:val="22"/>
                <w:szCs w:val="22"/>
              </w:rPr>
            </w:pPr>
            <w:r w:rsidRPr="003470BB">
              <w:rPr>
                <w:b/>
                <w:sz w:val="22"/>
                <w:szCs w:val="22"/>
              </w:rPr>
              <w:t>Persistent absence</w:t>
            </w:r>
          </w:p>
        </w:tc>
        <w:tc>
          <w:tcPr>
            <w:tcW w:w="2977" w:type="dxa"/>
          </w:tcPr>
          <w:p w14:paraId="24DFDF86" w14:textId="5F1C4E72" w:rsidR="00264368" w:rsidRPr="003470BB" w:rsidRDefault="00212FCE" w:rsidP="003470BB">
            <w:pPr>
              <w:spacing w:line="240" w:lineRule="auto"/>
              <w:rPr>
                <w:sz w:val="22"/>
                <w:szCs w:val="22"/>
              </w:rPr>
            </w:pPr>
            <w:r w:rsidRPr="003470BB">
              <w:rPr>
                <w:sz w:val="22"/>
                <w:szCs w:val="22"/>
              </w:rPr>
              <w:t>15%</w:t>
            </w:r>
          </w:p>
        </w:tc>
        <w:tc>
          <w:tcPr>
            <w:tcW w:w="3537" w:type="dxa"/>
          </w:tcPr>
          <w:p w14:paraId="3B8ED247" w14:textId="05C72B45" w:rsidR="00264368" w:rsidRPr="003470BB" w:rsidRDefault="00212FCE" w:rsidP="003470BB">
            <w:pPr>
              <w:spacing w:line="240" w:lineRule="auto"/>
              <w:rPr>
                <w:sz w:val="22"/>
                <w:szCs w:val="22"/>
              </w:rPr>
            </w:pPr>
            <w:r w:rsidRPr="003470BB">
              <w:rPr>
                <w:sz w:val="22"/>
                <w:szCs w:val="22"/>
              </w:rPr>
              <w:t>17%</w:t>
            </w:r>
          </w:p>
        </w:tc>
      </w:tr>
    </w:tbl>
    <w:p w14:paraId="385D5490" w14:textId="77777777" w:rsidR="003470BB" w:rsidRPr="003470BB" w:rsidRDefault="003470BB" w:rsidP="003470BB">
      <w:pPr>
        <w:spacing w:line="240" w:lineRule="auto"/>
        <w:rPr>
          <w:rFonts w:cs="Arial"/>
          <w:b/>
          <w:sz w:val="22"/>
          <w:szCs w:val="22"/>
          <w:u w:val="single"/>
          <w:lang w:val="en-US"/>
        </w:rPr>
      </w:pPr>
    </w:p>
    <w:p w14:paraId="1C0BDAF4" w14:textId="33CF7236" w:rsidR="003470BB" w:rsidRPr="003470BB" w:rsidRDefault="003470BB" w:rsidP="003470BB">
      <w:pPr>
        <w:spacing w:line="240" w:lineRule="auto"/>
        <w:rPr>
          <w:rFonts w:cs="Arial"/>
          <w:b/>
          <w:sz w:val="22"/>
          <w:szCs w:val="22"/>
          <w:u w:val="single"/>
          <w:lang w:val="en-US"/>
        </w:rPr>
      </w:pPr>
      <w:r w:rsidRPr="003470BB">
        <w:rPr>
          <w:rFonts w:cs="Arial"/>
          <w:b/>
          <w:sz w:val="22"/>
          <w:szCs w:val="22"/>
          <w:u w:val="single"/>
          <w:lang w:val="en-US"/>
        </w:rPr>
        <w:t>2024 Disadvantaged gap – Year 6 Attainment</w:t>
      </w:r>
    </w:p>
    <w:p w14:paraId="0DDB773E" w14:textId="77777777" w:rsidR="003470BB" w:rsidRPr="003470BB" w:rsidRDefault="003470BB" w:rsidP="003470BB">
      <w:pPr>
        <w:spacing w:line="240" w:lineRule="auto"/>
        <w:rPr>
          <w:rFonts w:cs="Arial"/>
          <w:b/>
          <w:sz w:val="22"/>
          <w:szCs w:val="22"/>
          <w:u w:val="single"/>
          <w:lang w:val="en-US"/>
        </w:rPr>
      </w:pPr>
      <w:r w:rsidRPr="003470BB">
        <w:rPr>
          <w:rFonts w:cs="Arial"/>
          <w:b/>
          <w:sz w:val="22"/>
          <w:szCs w:val="22"/>
          <w:u w:val="single"/>
          <w:lang w:val="en-US"/>
        </w:rPr>
        <w:t xml:space="preserve">Reading </w:t>
      </w:r>
    </w:p>
    <w:tbl>
      <w:tblPr>
        <w:tblStyle w:val="TableGrid"/>
        <w:tblW w:w="0" w:type="auto"/>
        <w:tblLook w:val="04A0" w:firstRow="1" w:lastRow="0" w:firstColumn="1" w:lastColumn="0" w:noHBand="0" w:noVBand="1"/>
      </w:tblPr>
      <w:tblGrid>
        <w:gridCol w:w="2689"/>
        <w:gridCol w:w="1819"/>
        <w:gridCol w:w="2254"/>
        <w:gridCol w:w="2254"/>
      </w:tblGrid>
      <w:tr w:rsidR="003470BB" w:rsidRPr="003470BB" w14:paraId="00A84261" w14:textId="77777777" w:rsidTr="003470BB">
        <w:trPr>
          <w:trHeight w:val="791"/>
        </w:trPr>
        <w:tc>
          <w:tcPr>
            <w:tcW w:w="2689" w:type="dxa"/>
          </w:tcPr>
          <w:p w14:paraId="377A4CA2"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Attainment (average scaled score)</w:t>
            </w:r>
          </w:p>
        </w:tc>
        <w:tc>
          <w:tcPr>
            <w:tcW w:w="1819" w:type="dxa"/>
          </w:tcPr>
          <w:p w14:paraId="69DAA4C9"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Pupil Premium</w:t>
            </w:r>
          </w:p>
        </w:tc>
        <w:tc>
          <w:tcPr>
            <w:tcW w:w="2254" w:type="dxa"/>
          </w:tcPr>
          <w:p w14:paraId="03F0AD3B"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Not Pupil Premium</w:t>
            </w:r>
          </w:p>
        </w:tc>
        <w:tc>
          <w:tcPr>
            <w:tcW w:w="2254" w:type="dxa"/>
          </w:tcPr>
          <w:p w14:paraId="43326DBA"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Gap</w:t>
            </w:r>
          </w:p>
        </w:tc>
      </w:tr>
      <w:tr w:rsidR="003470BB" w:rsidRPr="003470BB" w14:paraId="24AF9774" w14:textId="77777777" w:rsidTr="003470BB">
        <w:tc>
          <w:tcPr>
            <w:tcW w:w="2689" w:type="dxa"/>
          </w:tcPr>
          <w:p w14:paraId="5207337E"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2023</w:t>
            </w:r>
          </w:p>
        </w:tc>
        <w:tc>
          <w:tcPr>
            <w:tcW w:w="1819" w:type="dxa"/>
          </w:tcPr>
          <w:p w14:paraId="794F41B6"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105.2</w:t>
            </w:r>
          </w:p>
        </w:tc>
        <w:tc>
          <w:tcPr>
            <w:tcW w:w="2254" w:type="dxa"/>
          </w:tcPr>
          <w:p w14:paraId="7098DFB8"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109.0</w:t>
            </w:r>
          </w:p>
        </w:tc>
        <w:tc>
          <w:tcPr>
            <w:tcW w:w="2254" w:type="dxa"/>
          </w:tcPr>
          <w:p w14:paraId="33CB98BF"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-3.8</w:t>
            </w:r>
          </w:p>
        </w:tc>
      </w:tr>
      <w:tr w:rsidR="003470BB" w:rsidRPr="003470BB" w14:paraId="2E7221C7" w14:textId="77777777" w:rsidTr="003470BB">
        <w:tc>
          <w:tcPr>
            <w:tcW w:w="2689" w:type="dxa"/>
          </w:tcPr>
          <w:p w14:paraId="7F51FC3A"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2024</w:t>
            </w:r>
          </w:p>
        </w:tc>
        <w:tc>
          <w:tcPr>
            <w:tcW w:w="1819" w:type="dxa"/>
          </w:tcPr>
          <w:p w14:paraId="07463B07"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108.3</w:t>
            </w:r>
          </w:p>
        </w:tc>
        <w:tc>
          <w:tcPr>
            <w:tcW w:w="2254" w:type="dxa"/>
          </w:tcPr>
          <w:p w14:paraId="2C533C0F"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110.1</w:t>
            </w:r>
          </w:p>
        </w:tc>
        <w:tc>
          <w:tcPr>
            <w:tcW w:w="2254" w:type="dxa"/>
          </w:tcPr>
          <w:p w14:paraId="1033CDFD"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-1.8</w:t>
            </w:r>
          </w:p>
        </w:tc>
      </w:tr>
    </w:tbl>
    <w:p w14:paraId="6B8691FA" w14:textId="77777777" w:rsidR="003470BB" w:rsidRPr="003470BB" w:rsidRDefault="003470BB" w:rsidP="003470BB">
      <w:pPr>
        <w:spacing w:line="240" w:lineRule="auto"/>
        <w:rPr>
          <w:rFonts w:cs="Arial"/>
          <w:sz w:val="22"/>
          <w:szCs w:val="22"/>
          <w:lang w:val="en-US"/>
        </w:rPr>
      </w:pPr>
    </w:p>
    <w:p w14:paraId="249B16FD" w14:textId="77777777" w:rsidR="003470BB" w:rsidRPr="003470BB" w:rsidRDefault="003470BB" w:rsidP="003470BB">
      <w:pPr>
        <w:spacing w:line="240" w:lineRule="auto"/>
        <w:rPr>
          <w:rFonts w:cs="Arial"/>
          <w:b/>
          <w:sz w:val="22"/>
          <w:szCs w:val="22"/>
          <w:u w:val="single"/>
          <w:lang w:val="en-US"/>
        </w:rPr>
      </w:pPr>
      <w:r w:rsidRPr="003470BB">
        <w:rPr>
          <w:rFonts w:cs="Arial"/>
          <w:b/>
          <w:sz w:val="22"/>
          <w:szCs w:val="22"/>
          <w:u w:val="single"/>
          <w:lang w:val="en-US"/>
        </w:rPr>
        <w:t xml:space="preserve">Maths </w:t>
      </w:r>
    </w:p>
    <w:tbl>
      <w:tblPr>
        <w:tblStyle w:val="TableGrid"/>
        <w:tblW w:w="0" w:type="auto"/>
        <w:tblLook w:val="04A0" w:firstRow="1" w:lastRow="0" w:firstColumn="1" w:lastColumn="0" w:noHBand="0" w:noVBand="1"/>
      </w:tblPr>
      <w:tblGrid>
        <w:gridCol w:w="2689"/>
        <w:gridCol w:w="1819"/>
        <w:gridCol w:w="2254"/>
        <w:gridCol w:w="2254"/>
      </w:tblGrid>
      <w:tr w:rsidR="003470BB" w:rsidRPr="003470BB" w14:paraId="6BA814DC" w14:textId="77777777" w:rsidTr="003470BB">
        <w:trPr>
          <w:trHeight w:val="422"/>
        </w:trPr>
        <w:tc>
          <w:tcPr>
            <w:tcW w:w="2689" w:type="dxa"/>
          </w:tcPr>
          <w:p w14:paraId="6CCDA26D"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lastRenderedPageBreak/>
              <w:t>Attainment (average scaled score)</w:t>
            </w:r>
          </w:p>
        </w:tc>
        <w:tc>
          <w:tcPr>
            <w:tcW w:w="1819" w:type="dxa"/>
          </w:tcPr>
          <w:p w14:paraId="27DD2A7B"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Pupil Premium</w:t>
            </w:r>
          </w:p>
        </w:tc>
        <w:tc>
          <w:tcPr>
            <w:tcW w:w="2254" w:type="dxa"/>
          </w:tcPr>
          <w:p w14:paraId="6AB38653"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Not Pupil Premium</w:t>
            </w:r>
          </w:p>
        </w:tc>
        <w:tc>
          <w:tcPr>
            <w:tcW w:w="2254" w:type="dxa"/>
          </w:tcPr>
          <w:p w14:paraId="04350F99"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Gap</w:t>
            </w:r>
          </w:p>
          <w:p w14:paraId="02A41436" w14:textId="77777777" w:rsidR="003470BB" w:rsidRPr="003470BB" w:rsidRDefault="003470BB" w:rsidP="003470BB">
            <w:pPr>
              <w:spacing w:line="240" w:lineRule="auto"/>
              <w:rPr>
                <w:rFonts w:cs="Arial"/>
                <w:b/>
                <w:sz w:val="22"/>
                <w:szCs w:val="22"/>
                <w:lang w:val="en-US"/>
              </w:rPr>
            </w:pPr>
          </w:p>
        </w:tc>
      </w:tr>
      <w:tr w:rsidR="003470BB" w:rsidRPr="003470BB" w14:paraId="089DDC46" w14:textId="77777777" w:rsidTr="003470BB">
        <w:tc>
          <w:tcPr>
            <w:tcW w:w="2689" w:type="dxa"/>
          </w:tcPr>
          <w:p w14:paraId="2A353370"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2023</w:t>
            </w:r>
          </w:p>
        </w:tc>
        <w:tc>
          <w:tcPr>
            <w:tcW w:w="1819" w:type="dxa"/>
          </w:tcPr>
          <w:p w14:paraId="56030F4D"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107.5</w:t>
            </w:r>
          </w:p>
        </w:tc>
        <w:tc>
          <w:tcPr>
            <w:tcW w:w="2254" w:type="dxa"/>
          </w:tcPr>
          <w:p w14:paraId="4E6EDEFA"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108.9</w:t>
            </w:r>
          </w:p>
        </w:tc>
        <w:tc>
          <w:tcPr>
            <w:tcW w:w="2254" w:type="dxa"/>
          </w:tcPr>
          <w:p w14:paraId="0E6D0D24"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-1.4</w:t>
            </w:r>
          </w:p>
        </w:tc>
      </w:tr>
      <w:tr w:rsidR="003470BB" w:rsidRPr="003470BB" w14:paraId="2AFE9D17" w14:textId="77777777" w:rsidTr="003470BB">
        <w:tc>
          <w:tcPr>
            <w:tcW w:w="2689" w:type="dxa"/>
          </w:tcPr>
          <w:p w14:paraId="2B1813C4"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2024</w:t>
            </w:r>
          </w:p>
        </w:tc>
        <w:tc>
          <w:tcPr>
            <w:tcW w:w="1819" w:type="dxa"/>
          </w:tcPr>
          <w:p w14:paraId="55BB11BB"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108.1</w:t>
            </w:r>
          </w:p>
        </w:tc>
        <w:tc>
          <w:tcPr>
            <w:tcW w:w="2254" w:type="dxa"/>
          </w:tcPr>
          <w:p w14:paraId="04A41060"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111.1</w:t>
            </w:r>
          </w:p>
        </w:tc>
        <w:tc>
          <w:tcPr>
            <w:tcW w:w="2254" w:type="dxa"/>
          </w:tcPr>
          <w:p w14:paraId="2514D365"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-3</w:t>
            </w:r>
          </w:p>
        </w:tc>
      </w:tr>
    </w:tbl>
    <w:p w14:paraId="04DD3534" w14:textId="77777777" w:rsidR="003470BB" w:rsidRPr="003470BB" w:rsidRDefault="003470BB" w:rsidP="003470BB">
      <w:pPr>
        <w:spacing w:line="240" w:lineRule="auto"/>
        <w:rPr>
          <w:rFonts w:cs="Arial"/>
          <w:sz w:val="22"/>
          <w:szCs w:val="22"/>
          <w:lang w:val="en-US"/>
        </w:rPr>
      </w:pPr>
    </w:p>
    <w:p w14:paraId="354EC80F" w14:textId="77777777" w:rsidR="003470BB" w:rsidRPr="003470BB" w:rsidRDefault="003470BB" w:rsidP="003470BB">
      <w:pPr>
        <w:spacing w:line="240" w:lineRule="auto"/>
        <w:rPr>
          <w:rFonts w:cs="Arial"/>
          <w:b/>
          <w:sz w:val="22"/>
          <w:szCs w:val="22"/>
          <w:u w:val="single"/>
          <w:lang w:val="en-US"/>
        </w:rPr>
      </w:pPr>
      <w:r w:rsidRPr="003470BB">
        <w:rPr>
          <w:rFonts w:cs="Arial"/>
          <w:b/>
          <w:sz w:val="22"/>
          <w:szCs w:val="22"/>
          <w:u w:val="single"/>
          <w:lang w:val="en-US"/>
        </w:rPr>
        <w:t>GPS</w:t>
      </w:r>
    </w:p>
    <w:tbl>
      <w:tblPr>
        <w:tblStyle w:val="TableGrid"/>
        <w:tblW w:w="0" w:type="auto"/>
        <w:tblLook w:val="04A0" w:firstRow="1" w:lastRow="0" w:firstColumn="1" w:lastColumn="0" w:noHBand="0" w:noVBand="1"/>
      </w:tblPr>
      <w:tblGrid>
        <w:gridCol w:w="2689"/>
        <w:gridCol w:w="1819"/>
        <w:gridCol w:w="2254"/>
        <w:gridCol w:w="2254"/>
      </w:tblGrid>
      <w:tr w:rsidR="003470BB" w:rsidRPr="003470BB" w14:paraId="4A06782D" w14:textId="77777777" w:rsidTr="003470BB">
        <w:trPr>
          <w:trHeight w:val="533"/>
        </w:trPr>
        <w:tc>
          <w:tcPr>
            <w:tcW w:w="2689" w:type="dxa"/>
          </w:tcPr>
          <w:p w14:paraId="2A5DBBD2"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Attainment (average scaled score)</w:t>
            </w:r>
          </w:p>
        </w:tc>
        <w:tc>
          <w:tcPr>
            <w:tcW w:w="1819" w:type="dxa"/>
          </w:tcPr>
          <w:p w14:paraId="68FB2EFE"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Pupil Premium</w:t>
            </w:r>
          </w:p>
        </w:tc>
        <w:tc>
          <w:tcPr>
            <w:tcW w:w="2254" w:type="dxa"/>
          </w:tcPr>
          <w:p w14:paraId="0746BFF6"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Not Pupil Premium</w:t>
            </w:r>
          </w:p>
        </w:tc>
        <w:tc>
          <w:tcPr>
            <w:tcW w:w="2254" w:type="dxa"/>
          </w:tcPr>
          <w:p w14:paraId="403EF33E"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Gap</w:t>
            </w:r>
          </w:p>
        </w:tc>
      </w:tr>
      <w:tr w:rsidR="003470BB" w:rsidRPr="003470BB" w14:paraId="0EAA571B" w14:textId="77777777" w:rsidTr="003470BB">
        <w:tc>
          <w:tcPr>
            <w:tcW w:w="2689" w:type="dxa"/>
          </w:tcPr>
          <w:p w14:paraId="753D2A57"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2023</w:t>
            </w:r>
          </w:p>
        </w:tc>
        <w:tc>
          <w:tcPr>
            <w:tcW w:w="1819" w:type="dxa"/>
          </w:tcPr>
          <w:p w14:paraId="468E3D32"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109.3</w:t>
            </w:r>
          </w:p>
        </w:tc>
        <w:tc>
          <w:tcPr>
            <w:tcW w:w="2254" w:type="dxa"/>
          </w:tcPr>
          <w:p w14:paraId="59CE8F17"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112.1</w:t>
            </w:r>
          </w:p>
        </w:tc>
        <w:tc>
          <w:tcPr>
            <w:tcW w:w="2254" w:type="dxa"/>
          </w:tcPr>
          <w:p w14:paraId="64543CB8"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-2.8</w:t>
            </w:r>
          </w:p>
        </w:tc>
      </w:tr>
      <w:tr w:rsidR="003470BB" w:rsidRPr="003470BB" w14:paraId="3AB30F08" w14:textId="77777777" w:rsidTr="003470BB">
        <w:tc>
          <w:tcPr>
            <w:tcW w:w="2689" w:type="dxa"/>
          </w:tcPr>
          <w:p w14:paraId="37DC6EBE" w14:textId="77777777" w:rsidR="003470BB" w:rsidRPr="003470BB" w:rsidRDefault="003470BB" w:rsidP="003470BB">
            <w:pPr>
              <w:spacing w:line="240" w:lineRule="auto"/>
              <w:rPr>
                <w:rFonts w:cs="Arial"/>
                <w:b/>
                <w:sz w:val="22"/>
                <w:szCs w:val="22"/>
                <w:lang w:val="en-US"/>
              </w:rPr>
            </w:pPr>
            <w:r w:rsidRPr="003470BB">
              <w:rPr>
                <w:rFonts w:cs="Arial"/>
                <w:b/>
                <w:sz w:val="22"/>
                <w:szCs w:val="22"/>
                <w:lang w:val="en-US"/>
              </w:rPr>
              <w:t>2024</w:t>
            </w:r>
          </w:p>
        </w:tc>
        <w:tc>
          <w:tcPr>
            <w:tcW w:w="1819" w:type="dxa"/>
          </w:tcPr>
          <w:p w14:paraId="1E9130E3"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109.3</w:t>
            </w:r>
          </w:p>
        </w:tc>
        <w:tc>
          <w:tcPr>
            <w:tcW w:w="2254" w:type="dxa"/>
          </w:tcPr>
          <w:p w14:paraId="430D4157"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111</w:t>
            </w:r>
          </w:p>
        </w:tc>
        <w:tc>
          <w:tcPr>
            <w:tcW w:w="2254" w:type="dxa"/>
          </w:tcPr>
          <w:p w14:paraId="6E908E61" w14:textId="77777777" w:rsidR="003470BB" w:rsidRPr="003470BB" w:rsidRDefault="003470BB" w:rsidP="003470BB">
            <w:pPr>
              <w:spacing w:line="240" w:lineRule="auto"/>
              <w:rPr>
                <w:rFonts w:cs="Arial"/>
                <w:sz w:val="22"/>
                <w:szCs w:val="22"/>
                <w:lang w:val="en-US"/>
              </w:rPr>
            </w:pPr>
            <w:r w:rsidRPr="003470BB">
              <w:rPr>
                <w:rFonts w:cs="Arial"/>
                <w:sz w:val="22"/>
                <w:szCs w:val="22"/>
                <w:lang w:val="en-US"/>
              </w:rPr>
              <w:t>-1.7</w:t>
            </w:r>
          </w:p>
        </w:tc>
      </w:tr>
    </w:tbl>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991B" w14:textId="700B6AF2" w:rsidR="006D2531" w:rsidRDefault="006D2531" w:rsidP="00DB0CA2">
            <w:pPr>
              <w:pStyle w:val="7Tablecopybulleted"/>
              <w:numPr>
                <w:ilvl w:val="0"/>
                <w:numId w:val="0"/>
              </w:numPr>
              <w:spacing w:after="0"/>
              <w:ind w:left="425"/>
              <w:rPr>
                <w:color w:val="0D0D0D"/>
                <w:sz w:val="23"/>
                <w:szCs w:val="23"/>
              </w:rPr>
            </w:pPr>
            <w:r>
              <w:rPr>
                <w:color w:val="0D0D0D"/>
                <w:sz w:val="23"/>
                <w:szCs w:val="23"/>
              </w:rPr>
              <w:t>Teaching and Learning across the school is consistently high and staff turnover is extremely low.  With an experienced and well-established team of teachers and leaders, our teaching and learning policy is implemented effectively across all subjects, resulting in strong outcomes for pupils, including those in receipt of PPG.</w:t>
            </w:r>
          </w:p>
          <w:p w14:paraId="0112C6DF" w14:textId="77777777" w:rsidR="006D2531" w:rsidRDefault="006D2531" w:rsidP="00DB0CA2">
            <w:pPr>
              <w:pStyle w:val="7Tablecopybulleted"/>
              <w:numPr>
                <w:ilvl w:val="0"/>
                <w:numId w:val="0"/>
              </w:numPr>
              <w:spacing w:after="0"/>
              <w:ind w:left="425"/>
              <w:rPr>
                <w:color w:val="0D0D0D"/>
                <w:sz w:val="23"/>
                <w:szCs w:val="23"/>
              </w:rPr>
            </w:pPr>
          </w:p>
          <w:p w14:paraId="7F2945F3" w14:textId="11FE26F1" w:rsidR="00DB0CA2" w:rsidRDefault="00DB0CA2" w:rsidP="00DB0CA2">
            <w:pPr>
              <w:pStyle w:val="7Tablecopybulleted"/>
              <w:numPr>
                <w:ilvl w:val="0"/>
                <w:numId w:val="0"/>
              </w:numPr>
              <w:spacing w:after="0"/>
              <w:ind w:left="425"/>
              <w:rPr>
                <w:color w:val="0D0D0D"/>
                <w:sz w:val="23"/>
                <w:szCs w:val="23"/>
              </w:rPr>
            </w:pPr>
            <w:r>
              <w:rPr>
                <w:color w:val="0D0D0D"/>
                <w:sz w:val="23"/>
                <w:szCs w:val="23"/>
              </w:rPr>
              <w:t>The teaching of phonics and e</w:t>
            </w:r>
            <w:r w:rsidR="00CC042A">
              <w:rPr>
                <w:color w:val="0D0D0D"/>
                <w:sz w:val="23"/>
                <w:szCs w:val="23"/>
              </w:rPr>
              <w:t>arly reading skills through the</w:t>
            </w:r>
            <w:r>
              <w:rPr>
                <w:color w:val="0D0D0D"/>
                <w:sz w:val="23"/>
                <w:szCs w:val="23"/>
              </w:rPr>
              <w:t xml:space="preserve"> ALS phonics programme continued to be embedded.  This included professional development, training and support for all adults involved in delivering phonics.  PPG pupils continued to be supported through the teaching of daily reading and access to high-quality texts appropriate to their reading ability.</w:t>
            </w:r>
            <w:r w:rsidR="0025105B">
              <w:rPr>
                <w:color w:val="0D0D0D"/>
                <w:sz w:val="23"/>
                <w:szCs w:val="23"/>
              </w:rPr>
              <w:t xml:space="preserve">  SALT interventions continued t</w:t>
            </w:r>
            <w:r w:rsidR="008F79E8">
              <w:rPr>
                <w:color w:val="0D0D0D"/>
                <w:sz w:val="23"/>
                <w:szCs w:val="23"/>
              </w:rPr>
              <w:t>o be accessed by PPG pupils, allowing them to develop language and vocabulary and catch-up with their peers.</w:t>
            </w:r>
            <w:r w:rsidR="0025105B">
              <w:rPr>
                <w:color w:val="0D0D0D"/>
                <w:sz w:val="23"/>
                <w:szCs w:val="23"/>
              </w:rPr>
              <w:t xml:space="preserve">  </w:t>
            </w:r>
          </w:p>
          <w:p w14:paraId="037629C7" w14:textId="5EDB61BE" w:rsidR="0025105B" w:rsidRDefault="0025105B" w:rsidP="00DB0CA2">
            <w:pPr>
              <w:pStyle w:val="7Tablecopybulleted"/>
              <w:numPr>
                <w:ilvl w:val="0"/>
                <w:numId w:val="0"/>
              </w:numPr>
              <w:spacing w:after="0"/>
              <w:ind w:left="425"/>
              <w:rPr>
                <w:color w:val="0D0D0D"/>
                <w:sz w:val="23"/>
                <w:szCs w:val="23"/>
              </w:rPr>
            </w:pPr>
          </w:p>
          <w:p w14:paraId="21419350" w14:textId="1D9F7602" w:rsidR="0025105B" w:rsidRDefault="0025105B" w:rsidP="00DB0CA2">
            <w:pPr>
              <w:pStyle w:val="7Tablecopybulleted"/>
              <w:numPr>
                <w:ilvl w:val="0"/>
                <w:numId w:val="0"/>
              </w:numPr>
              <w:spacing w:after="0"/>
              <w:ind w:left="425"/>
              <w:rPr>
                <w:color w:val="0D0D0D"/>
                <w:sz w:val="23"/>
                <w:szCs w:val="23"/>
              </w:rPr>
            </w:pPr>
            <w:r>
              <w:rPr>
                <w:color w:val="0D0D0D"/>
                <w:sz w:val="23"/>
                <w:szCs w:val="23"/>
              </w:rPr>
              <w:t xml:space="preserve">A whole-school focus on retrieval, and other strategies aimed at embedding key skills and knowledge in the long-term memory, was successful and was embraced by all teachers and used consistently.  </w:t>
            </w:r>
          </w:p>
          <w:p w14:paraId="663CB9C3" w14:textId="4C782F3D" w:rsidR="00CC042A" w:rsidRDefault="00CC042A" w:rsidP="00DB0CA2">
            <w:pPr>
              <w:pStyle w:val="7Tablecopybulleted"/>
              <w:numPr>
                <w:ilvl w:val="0"/>
                <w:numId w:val="0"/>
              </w:numPr>
              <w:spacing w:after="0"/>
              <w:ind w:left="425"/>
              <w:rPr>
                <w:color w:val="0D0D0D"/>
                <w:sz w:val="23"/>
                <w:szCs w:val="23"/>
              </w:rPr>
            </w:pPr>
          </w:p>
          <w:p w14:paraId="39B91BF0" w14:textId="6A590CD2" w:rsidR="00CC042A" w:rsidRDefault="00CC042A" w:rsidP="00DB0CA2">
            <w:pPr>
              <w:pStyle w:val="7Tablecopybulleted"/>
              <w:numPr>
                <w:ilvl w:val="0"/>
                <w:numId w:val="0"/>
              </w:numPr>
              <w:spacing w:after="0"/>
              <w:ind w:left="425"/>
              <w:rPr>
                <w:color w:val="0D0D0D"/>
                <w:sz w:val="23"/>
                <w:szCs w:val="23"/>
              </w:rPr>
            </w:pPr>
            <w:r>
              <w:rPr>
                <w:color w:val="0D0D0D"/>
                <w:sz w:val="23"/>
                <w:szCs w:val="23"/>
              </w:rPr>
              <w:t xml:space="preserve">A </w:t>
            </w:r>
            <w:r w:rsidR="00553890">
              <w:rPr>
                <w:color w:val="0D0D0D"/>
                <w:sz w:val="23"/>
                <w:szCs w:val="23"/>
              </w:rPr>
              <w:t>whole-school focus on Oracy has resulted in a</w:t>
            </w:r>
            <w:r>
              <w:rPr>
                <w:color w:val="0D0D0D"/>
                <w:sz w:val="23"/>
                <w:szCs w:val="23"/>
              </w:rPr>
              <w:t xml:space="preserve"> significant </w:t>
            </w:r>
            <w:r w:rsidR="00553890">
              <w:rPr>
                <w:color w:val="0D0D0D"/>
                <w:sz w:val="23"/>
                <w:szCs w:val="23"/>
              </w:rPr>
              <w:t>improvement</w:t>
            </w:r>
            <w:r>
              <w:rPr>
                <w:color w:val="0D0D0D"/>
                <w:sz w:val="23"/>
                <w:szCs w:val="23"/>
              </w:rPr>
              <w:t xml:space="preserve"> on the speaking and listening skills, and active engagement in learning of all pupils, including PPG pupils.  </w:t>
            </w:r>
          </w:p>
          <w:p w14:paraId="31AA4C74" w14:textId="48800525" w:rsidR="0025105B" w:rsidRDefault="0025105B" w:rsidP="00DB0CA2">
            <w:pPr>
              <w:pStyle w:val="7Tablecopybulleted"/>
              <w:numPr>
                <w:ilvl w:val="0"/>
                <w:numId w:val="0"/>
              </w:numPr>
              <w:spacing w:after="0"/>
              <w:ind w:left="425"/>
              <w:rPr>
                <w:color w:val="0D0D0D"/>
                <w:sz w:val="23"/>
                <w:szCs w:val="23"/>
              </w:rPr>
            </w:pPr>
          </w:p>
          <w:p w14:paraId="725237B4" w14:textId="5DF2F8A2" w:rsidR="0025105B" w:rsidRDefault="00553890" w:rsidP="00DB0CA2">
            <w:pPr>
              <w:pStyle w:val="7Tablecopybulleted"/>
              <w:numPr>
                <w:ilvl w:val="0"/>
                <w:numId w:val="0"/>
              </w:numPr>
              <w:spacing w:after="0"/>
              <w:ind w:left="425"/>
              <w:rPr>
                <w:color w:val="0D0D0D"/>
                <w:sz w:val="23"/>
                <w:szCs w:val="23"/>
              </w:rPr>
            </w:pPr>
            <w:r>
              <w:rPr>
                <w:color w:val="0D0D0D"/>
                <w:sz w:val="23"/>
                <w:szCs w:val="23"/>
              </w:rPr>
              <w:t>The teaching of English across the school is effective and consistent. Assessment</w:t>
            </w:r>
            <w:r w:rsidR="0025105B">
              <w:rPr>
                <w:color w:val="0D0D0D"/>
                <w:sz w:val="23"/>
                <w:szCs w:val="23"/>
              </w:rPr>
              <w:t xml:space="preserve"> outcomes </w:t>
            </w:r>
            <w:r>
              <w:rPr>
                <w:color w:val="0D0D0D"/>
                <w:sz w:val="23"/>
                <w:szCs w:val="23"/>
              </w:rPr>
              <w:t>were improved across the school.  The teaching of writing continues to be a focus for the 2024-25 academic year, with a particular focus on more able writers.</w:t>
            </w:r>
          </w:p>
          <w:p w14:paraId="229F9572" w14:textId="555510F3" w:rsidR="00DB0CA2" w:rsidRDefault="00DB0CA2" w:rsidP="00DB0CA2">
            <w:pPr>
              <w:pStyle w:val="7Tablecopybulleted"/>
              <w:numPr>
                <w:ilvl w:val="0"/>
                <w:numId w:val="0"/>
              </w:numPr>
              <w:spacing w:after="0"/>
              <w:ind w:left="425"/>
              <w:rPr>
                <w:color w:val="0D0D0D"/>
                <w:sz w:val="23"/>
                <w:szCs w:val="23"/>
              </w:rPr>
            </w:pPr>
          </w:p>
          <w:p w14:paraId="3B780DD3" w14:textId="51B3558D" w:rsidR="00DB0CA2" w:rsidRDefault="00DB0CA2" w:rsidP="00DB0CA2">
            <w:pPr>
              <w:pStyle w:val="7Tablecopybulleted"/>
              <w:numPr>
                <w:ilvl w:val="0"/>
                <w:numId w:val="0"/>
              </w:numPr>
              <w:spacing w:after="0"/>
              <w:ind w:left="425"/>
              <w:rPr>
                <w:color w:val="0D0D0D"/>
                <w:sz w:val="23"/>
                <w:szCs w:val="23"/>
              </w:rPr>
            </w:pPr>
            <w:r>
              <w:rPr>
                <w:color w:val="0D0D0D"/>
                <w:sz w:val="23"/>
                <w:szCs w:val="23"/>
              </w:rPr>
              <w:t>Targeted interventions had a measureable impact on the outcomes for pupils, particularly pre-teaching strategies</w:t>
            </w:r>
            <w:r w:rsidR="00553890">
              <w:rPr>
                <w:color w:val="0D0D0D"/>
                <w:sz w:val="23"/>
                <w:szCs w:val="23"/>
              </w:rPr>
              <w:t xml:space="preserve"> and SALT interventions</w:t>
            </w:r>
            <w:r>
              <w:rPr>
                <w:color w:val="0D0D0D"/>
                <w:sz w:val="23"/>
                <w:szCs w:val="23"/>
              </w:rPr>
              <w:t xml:space="preserve">.  </w:t>
            </w:r>
          </w:p>
          <w:p w14:paraId="1F43DF97" w14:textId="096F95CD" w:rsidR="00DB0CA2" w:rsidRDefault="00DB0CA2" w:rsidP="00DB0CA2">
            <w:pPr>
              <w:pStyle w:val="7Tablecopybulleted"/>
              <w:numPr>
                <w:ilvl w:val="0"/>
                <w:numId w:val="0"/>
              </w:numPr>
              <w:spacing w:after="0"/>
              <w:ind w:left="425"/>
              <w:rPr>
                <w:color w:val="0D0D0D"/>
                <w:sz w:val="23"/>
                <w:szCs w:val="23"/>
              </w:rPr>
            </w:pPr>
          </w:p>
          <w:p w14:paraId="527780F3" w14:textId="314691A6" w:rsidR="00DB0CA2" w:rsidRDefault="00CC042A" w:rsidP="00DB0CA2">
            <w:pPr>
              <w:pStyle w:val="7Tablecopybulleted"/>
              <w:numPr>
                <w:ilvl w:val="0"/>
                <w:numId w:val="0"/>
              </w:numPr>
              <w:spacing w:after="0"/>
              <w:ind w:left="425"/>
              <w:rPr>
                <w:color w:val="0D0D0D"/>
                <w:sz w:val="23"/>
                <w:szCs w:val="23"/>
              </w:rPr>
            </w:pPr>
            <w:r>
              <w:rPr>
                <w:color w:val="0D0D0D"/>
                <w:sz w:val="23"/>
                <w:szCs w:val="23"/>
              </w:rPr>
              <w:lastRenderedPageBreak/>
              <w:t xml:space="preserve">A whole-school focus on self-regulation, </w:t>
            </w:r>
            <w:r w:rsidR="00553890">
              <w:rPr>
                <w:color w:val="0D0D0D"/>
                <w:sz w:val="23"/>
                <w:szCs w:val="23"/>
              </w:rPr>
              <w:t>including Zones of Regulation and Mindfulness techniques, is full</w:t>
            </w:r>
            <w:r w:rsidR="003470BB">
              <w:rPr>
                <w:color w:val="0D0D0D"/>
                <w:sz w:val="23"/>
                <w:szCs w:val="23"/>
              </w:rPr>
              <w:t>y</w:t>
            </w:r>
            <w:r w:rsidR="00553890">
              <w:rPr>
                <w:color w:val="0D0D0D"/>
                <w:sz w:val="23"/>
                <w:szCs w:val="23"/>
              </w:rPr>
              <w:t xml:space="preserve"> embedded and is </w:t>
            </w:r>
            <w:r>
              <w:rPr>
                <w:color w:val="0D0D0D"/>
                <w:sz w:val="23"/>
                <w:szCs w:val="23"/>
              </w:rPr>
              <w:t>supporting pupils’ emotional well-being</w:t>
            </w:r>
            <w:r w:rsidR="00553890">
              <w:rPr>
                <w:color w:val="0D0D0D"/>
                <w:sz w:val="23"/>
                <w:szCs w:val="23"/>
              </w:rPr>
              <w:t>.</w:t>
            </w:r>
            <w:r w:rsidR="00DB0CA2">
              <w:rPr>
                <w:color w:val="0D0D0D"/>
                <w:sz w:val="23"/>
                <w:szCs w:val="23"/>
              </w:rPr>
              <w:t xml:space="preserve"> </w:t>
            </w:r>
            <w:r w:rsidR="00553890">
              <w:rPr>
                <w:color w:val="0D0D0D"/>
                <w:sz w:val="23"/>
                <w:szCs w:val="23"/>
              </w:rPr>
              <w:t xml:space="preserve"> There is a growing number of pupils with more complex emotional needs, so a focus on supporting pupils’ mental health continues to be a focus in 2024-25.</w:t>
            </w:r>
          </w:p>
          <w:p w14:paraId="337CEE9F" w14:textId="77777777" w:rsidR="00DB0CA2" w:rsidRDefault="00DB0CA2" w:rsidP="00DB0CA2">
            <w:pPr>
              <w:pStyle w:val="7Tablecopybulleted"/>
              <w:numPr>
                <w:ilvl w:val="0"/>
                <w:numId w:val="0"/>
              </w:numPr>
              <w:spacing w:after="0"/>
              <w:ind w:left="425"/>
              <w:rPr>
                <w:color w:val="0D0D0D"/>
                <w:sz w:val="23"/>
                <w:szCs w:val="23"/>
              </w:rPr>
            </w:pPr>
          </w:p>
          <w:p w14:paraId="18D28F33" w14:textId="0364786C" w:rsidR="00DB0CA2" w:rsidRDefault="00DB0CA2" w:rsidP="00DB0CA2">
            <w:pPr>
              <w:pStyle w:val="7Tablecopybulleted"/>
              <w:numPr>
                <w:ilvl w:val="0"/>
                <w:numId w:val="0"/>
              </w:numPr>
              <w:spacing w:after="0"/>
              <w:ind w:left="425"/>
              <w:rPr>
                <w:color w:val="0D0D0D"/>
                <w:sz w:val="23"/>
                <w:szCs w:val="23"/>
              </w:rPr>
            </w:pPr>
            <w:r>
              <w:rPr>
                <w:color w:val="0D0D0D"/>
                <w:sz w:val="23"/>
                <w:szCs w:val="23"/>
              </w:rPr>
              <w:t xml:space="preserve"> Whole-school attendance </w:t>
            </w:r>
            <w:r w:rsidR="00553890">
              <w:rPr>
                <w:color w:val="0D0D0D"/>
                <w:sz w:val="23"/>
                <w:szCs w:val="23"/>
              </w:rPr>
              <w:t xml:space="preserve">continues to improve but remains lower than </w:t>
            </w:r>
            <w:r>
              <w:rPr>
                <w:color w:val="0D0D0D"/>
                <w:sz w:val="23"/>
                <w:szCs w:val="23"/>
              </w:rPr>
              <w:t xml:space="preserve">our school attendance pre-pandemic. </w:t>
            </w:r>
            <w:r w:rsidR="00CC042A">
              <w:rPr>
                <w:color w:val="0D0D0D"/>
                <w:sz w:val="23"/>
                <w:szCs w:val="23"/>
              </w:rPr>
              <w:t xml:space="preserve"> </w:t>
            </w:r>
            <w:r>
              <w:rPr>
                <w:color w:val="0D0D0D"/>
                <w:sz w:val="23"/>
                <w:szCs w:val="23"/>
              </w:rPr>
              <w:t>Whilst this remains a key focus for the whole school, data shows that disadvantaged pupils</w:t>
            </w:r>
            <w:r w:rsidR="00385517">
              <w:rPr>
                <w:color w:val="0D0D0D"/>
                <w:sz w:val="23"/>
                <w:szCs w:val="23"/>
              </w:rPr>
              <w:t>’</w:t>
            </w:r>
            <w:r>
              <w:rPr>
                <w:color w:val="0D0D0D"/>
                <w:sz w:val="23"/>
                <w:szCs w:val="23"/>
              </w:rPr>
              <w:t xml:space="preserve"> att</w:t>
            </w:r>
            <w:r w:rsidR="00385517">
              <w:rPr>
                <w:color w:val="0D0D0D"/>
                <w:sz w:val="23"/>
                <w:szCs w:val="23"/>
              </w:rPr>
              <w:t>endance is comparable to their peers.</w:t>
            </w:r>
          </w:p>
          <w:p w14:paraId="158B60D8" w14:textId="774BC139" w:rsidR="00385517" w:rsidRDefault="00385517" w:rsidP="00DB0CA2">
            <w:pPr>
              <w:pStyle w:val="7Tablecopybulleted"/>
              <w:numPr>
                <w:ilvl w:val="0"/>
                <w:numId w:val="0"/>
              </w:numPr>
              <w:spacing w:after="0"/>
              <w:ind w:left="425"/>
              <w:rPr>
                <w:color w:val="0D0D0D"/>
                <w:sz w:val="23"/>
                <w:szCs w:val="23"/>
              </w:rPr>
            </w:pPr>
          </w:p>
          <w:p w14:paraId="3040AE48" w14:textId="68AF4362" w:rsidR="00385517" w:rsidRDefault="00553890" w:rsidP="00DB0CA2">
            <w:pPr>
              <w:pStyle w:val="7Tablecopybulleted"/>
              <w:numPr>
                <w:ilvl w:val="0"/>
                <w:numId w:val="0"/>
              </w:numPr>
              <w:spacing w:after="0"/>
              <w:ind w:left="425"/>
              <w:rPr>
                <w:color w:val="0D0D0D"/>
                <w:sz w:val="23"/>
                <w:szCs w:val="23"/>
              </w:rPr>
            </w:pPr>
            <w:r>
              <w:rPr>
                <w:color w:val="0D0D0D"/>
                <w:sz w:val="23"/>
                <w:szCs w:val="23"/>
              </w:rPr>
              <w:t>We continue to provide devices to families in receipt of PPG who request one which has resulted in increased engagement with home learning.</w:t>
            </w:r>
          </w:p>
          <w:p w14:paraId="23F55828" w14:textId="70FF0C80" w:rsidR="00385517" w:rsidRDefault="00385517" w:rsidP="00DB0CA2">
            <w:pPr>
              <w:pStyle w:val="7Tablecopybulleted"/>
              <w:numPr>
                <w:ilvl w:val="0"/>
                <w:numId w:val="0"/>
              </w:numPr>
              <w:spacing w:after="0"/>
              <w:ind w:left="425"/>
              <w:rPr>
                <w:color w:val="0D0D0D"/>
                <w:sz w:val="23"/>
                <w:szCs w:val="23"/>
              </w:rPr>
            </w:pPr>
          </w:p>
          <w:p w14:paraId="038F866F" w14:textId="03EE1E02" w:rsidR="00385517" w:rsidRDefault="00D05880" w:rsidP="00DB0CA2">
            <w:pPr>
              <w:pStyle w:val="7Tablecopybulleted"/>
              <w:numPr>
                <w:ilvl w:val="0"/>
                <w:numId w:val="0"/>
              </w:numPr>
              <w:spacing w:after="0"/>
              <w:ind w:left="425"/>
              <w:rPr>
                <w:color w:val="0D0D0D"/>
                <w:sz w:val="23"/>
                <w:szCs w:val="23"/>
              </w:rPr>
            </w:pPr>
            <w:r>
              <w:rPr>
                <w:color w:val="0D0D0D"/>
                <w:sz w:val="23"/>
                <w:szCs w:val="23"/>
              </w:rPr>
              <w:t xml:space="preserve">Our </w:t>
            </w:r>
            <w:r w:rsidR="00553890">
              <w:rPr>
                <w:color w:val="0D0D0D"/>
                <w:sz w:val="23"/>
                <w:szCs w:val="23"/>
              </w:rPr>
              <w:t>after-school school clubs</w:t>
            </w:r>
            <w:r>
              <w:rPr>
                <w:color w:val="0D0D0D"/>
                <w:sz w:val="23"/>
                <w:szCs w:val="23"/>
              </w:rPr>
              <w:t xml:space="preserve"> offer</w:t>
            </w:r>
            <w:r w:rsidR="00553890">
              <w:rPr>
                <w:color w:val="0D0D0D"/>
                <w:sz w:val="23"/>
                <w:szCs w:val="23"/>
              </w:rPr>
              <w:t>ed in</w:t>
            </w:r>
            <w:r>
              <w:rPr>
                <w:color w:val="0D0D0D"/>
                <w:sz w:val="23"/>
                <w:szCs w:val="23"/>
              </w:rPr>
              <w:t xml:space="preserve"> </w:t>
            </w:r>
            <w:r w:rsidR="00553890">
              <w:rPr>
                <w:color w:val="0D0D0D"/>
                <w:sz w:val="23"/>
                <w:szCs w:val="23"/>
              </w:rPr>
              <w:t xml:space="preserve">2023-24 were well-attended, including academic, sporting and arts clubs.  Free or discounted places were provided to those families who requested them, resulting in good attendance at clubs from PPG and otherwise socially disadvantaged pupils. </w:t>
            </w:r>
            <w:r w:rsidR="00385517">
              <w:rPr>
                <w:color w:val="0D0D0D"/>
                <w:sz w:val="23"/>
                <w:szCs w:val="23"/>
              </w:rPr>
              <w:t xml:space="preserve"> </w:t>
            </w:r>
            <w:r w:rsidR="00553890">
              <w:rPr>
                <w:color w:val="0D0D0D"/>
                <w:sz w:val="23"/>
                <w:szCs w:val="23"/>
              </w:rPr>
              <w:t>We are committed to sustaining this offer.</w:t>
            </w:r>
            <w:r w:rsidR="00385517">
              <w:rPr>
                <w:color w:val="0D0D0D"/>
                <w:sz w:val="23"/>
                <w:szCs w:val="23"/>
              </w:rPr>
              <w:t xml:space="preserve"> </w:t>
            </w:r>
          </w:p>
          <w:p w14:paraId="49DD2CB2" w14:textId="77777777" w:rsidR="001B3D88" w:rsidRPr="002A2E23" w:rsidRDefault="001B3D88" w:rsidP="001B3D88">
            <w:pPr>
              <w:pStyle w:val="7Tablecopybulleted"/>
              <w:numPr>
                <w:ilvl w:val="0"/>
                <w:numId w:val="0"/>
              </w:numPr>
              <w:spacing w:after="0"/>
              <w:ind w:left="595" w:hanging="170"/>
              <w:rPr>
                <w:rFonts w:cs="Arial"/>
                <w:sz w:val="23"/>
                <w:szCs w:val="23"/>
              </w:rPr>
            </w:pPr>
          </w:p>
          <w:p w14:paraId="4736D6F1" w14:textId="400BDEA3" w:rsidR="002A2E23" w:rsidRPr="002A2E23" w:rsidRDefault="008F79E8" w:rsidP="002A2E23">
            <w:pPr>
              <w:pStyle w:val="7Tablecopybulleted"/>
              <w:numPr>
                <w:ilvl w:val="0"/>
                <w:numId w:val="0"/>
              </w:numPr>
              <w:spacing w:after="0"/>
              <w:rPr>
                <w:rFonts w:cs="Arial"/>
                <w:b/>
                <w:color w:val="0070C0"/>
                <w:sz w:val="23"/>
                <w:szCs w:val="23"/>
              </w:rPr>
            </w:pPr>
            <w:r>
              <w:rPr>
                <w:rFonts w:cs="Arial"/>
                <w:b/>
                <w:color w:val="0070C0"/>
                <w:sz w:val="23"/>
                <w:szCs w:val="23"/>
              </w:rPr>
              <w:t>Key evidence and documentation</w:t>
            </w:r>
          </w:p>
          <w:p w14:paraId="6C0089F8" w14:textId="77777777" w:rsidR="008F79E8" w:rsidRDefault="008F79E8" w:rsidP="002A2E23">
            <w:pPr>
              <w:pStyle w:val="7Tablecopybulleted"/>
              <w:numPr>
                <w:ilvl w:val="0"/>
                <w:numId w:val="17"/>
              </w:numPr>
              <w:spacing w:after="0"/>
              <w:rPr>
                <w:rFonts w:cs="Arial"/>
                <w:color w:val="0070C0"/>
                <w:sz w:val="23"/>
                <w:szCs w:val="23"/>
              </w:rPr>
            </w:pPr>
            <w:r>
              <w:rPr>
                <w:rFonts w:cs="Arial"/>
                <w:color w:val="0070C0"/>
                <w:sz w:val="23"/>
                <w:szCs w:val="23"/>
              </w:rPr>
              <w:t>Internal school assessment data (attainment and progress)</w:t>
            </w:r>
          </w:p>
          <w:p w14:paraId="1DE0B7CA" w14:textId="3BD385E0" w:rsidR="002A2E23" w:rsidRDefault="008F79E8" w:rsidP="002A2E23">
            <w:pPr>
              <w:pStyle w:val="7Tablecopybulleted"/>
              <w:numPr>
                <w:ilvl w:val="0"/>
                <w:numId w:val="17"/>
              </w:numPr>
              <w:spacing w:after="0"/>
              <w:rPr>
                <w:rFonts w:cs="Arial"/>
                <w:color w:val="0070C0"/>
                <w:sz w:val="23"/>
                <w:szCs w:val="23"/>
              </w:rPr>
            </w:pPr>
            <w:r>
              <w:rPr>
                <w:rFonts w:cs="Arial"/>
                <w:color w:val="0070C0"/>
                <w:sz w:val="23"/>
                <w:szCs w:val="23"/>
              </w:rPr>
              <w:t>Externally published school data (GL</w:t>
            </w:r>
            <w:r w:rsidR="003470BB">
              <w:rPr>
                <w:rFonts w:cs="Arial"/>
                <w:color w:val="0070C0"/>
                <w:sz w:val="23"/>
                <w:szCs w:val="23"/>
              </w:rPr>
              <w:t>D, phonics screening, end of</w:t>
            </w:r>
            <w:r>
              <w:rPr>
                <w:rFonts w:cs="Arial"/>
                <w:color w:val="0070C0"/>
                <w:sz w:val="23"/>
                <w:szCs w:val="23"/>
              </w:rPr>
              <w:t xml:space="preserve"> KS2) </w:t>
            </w:r>
          </w:p>
          <w:p w14:paraId="6DE1277A" w14:textId="5BE2A420" w:rsidR="00C22321" w:rsidRPr="002A2E23" w:rsidRDefault="00C22321" w:rsidP="002A2E23">
            <w:pPr>
              <w:pStyle w:val="7Tablecopybulleted"/>
              <w:numPr>
                <w:ilvl w:val="0"/>
                <w:numId w:val="17"/>
              </w:numPr>
              <w:spacing w:after="0"/>
              <w:rPr>
                <w:rFonts w:cs="Arial"/>
                <w:color w:val="0070C0"/>
                <w:sz w:val="23"/>
                <w:szCs w:val="23"/>
              </w:rPr>
            </w:pPr>
            <w:r>
              <w:rPr>
                <w:rFonts w:cs="Arial"/>
                <w:color w:val="0070C0"/>
                <w:sz w:val="23"/>
                <w:szCs w:val="23"/>
              </w:rPr>
              <w:t>CPD records</w:t>
            </w:r>
          </w:p>
          <w:p w14:paraId="2A7D5546" w14:textId="7CEF10F6" w:rsidR="002A2E23" w:rsidRPr="002A2E23" w:rsidRDefault="002A2E23" w:rsidP="008F79E8">
            <w:pPr>
              <w:pStyle w:val="7Tablecopybulleted"/>
              <w:numPr>
                <w:ilvl w:val="0"/>
                <w:numId w:val="0"/>
              </w:numPr>
              <w:spacing w:after="0"/>
              <w:rPr>
                <w:rFonts w:ascii="Times New Roman" w:hAnsi="Times New Roman"/>
                <w:sz w:val="23"/>
                <w:szCs w:val="23"/>
              </w:rPr>
            </w:pPr>
          </w:p>
        </w:tc>
      </w:tr>
    </w:tbl>
    <w:p w14:paraId="2A7D5548" w14:textId="77777777" w:rsidR="00E66558" w:rsidRDefault="009D71E8">
      <w:pPr>
        <w:pStyle w:val="Heading2"/>
        <w:spacing w:before="600"/>
      </w:pPr>
      <w:r>
        <w:lastRenderedPageBreak/>
        <w:t>Externally provided programmes</w:t>
      </w:r>
    </w:p>
    <w:p w14:paraId="2A7D5549" w14:textId="76D42E1E"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r w:rsidR="00333986">
        <w:rPr>
          <w:i/>
          <w:iCs/>
        </w:rPr>
        <w:t>.</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59D2947" w:rsidR="00E66558" w:rsidRDefault="00AB1588">
            <w:pPr>
              <w:pStyle w:val="TableRow"/>
            </w:pPr>
            <w:r>
              <w:t>Mathletics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CD8A712" w:rsidR="00E66558" w:rsidRDefault="00AB1588">
            <w:pPr>
              <w:pStyle w:val="TableRowCentered"/>
              <w:jc w:val="left"/>
            </w:pPr>
            <w:r>
              <w:t>Mathletics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DE2E448" w:rsidR="00E66558" w:rsidRDefault="00AB1588">
            <w:pPr>
              <w:pStyle w:val="TableRow"/>
            </w:pPr>
            <w:r>
              <w:t>Bug Club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61EB114" w:rsidR="00E66558" w:rsidRDefault="00AB1588">
            <w:pPr>
              <w:pStyle w:val="TableRowCentered"/>
              <w:jc w:val="left"/>
            </w:pPr>
            <w:r>
              <w:t>Pearson</w:t>
            </w:r>
          </w:p>
        </w:tc>
      </w:tr>
      <w:tr w:rsidR="00AB1588" w14:paraId="47EC7D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482C2" w14:textId="7EB83AF8" w:rsidR="00AB1588" w:rsidRDefault="00AB1588">
            <w:pPr>
              <w:pStyle w:val="TableRow"/>
            </w:pPr>
            <w:r>
              <w:t>ALS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90474" w14:textId="36251568" w:rsidR="00AB1588" w:rsidRDefault="00AB1588">
            <w:pPr>
              <w:pStyle w:val="TableRowCentered"/>
              <w:jc w:val="left"/>
            </w:pPr>
            <w:r>
              <w:t>ALS Phonics</w:t>
            </w:r>
          </w:p>
        </w:tc>
      </w:tr>
      <w:tr w:rsidR="00AB1588" w14:paraId="0E391A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4AF7" w14:textId="492FABDC" w:rsidR="00AB1588" w:rsidRDefault="00AB1588">
            <w:pPr>
              <w:pStyle w:val="TableRow"/>
            </w:pPr>
            <w:r>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1CFAE" w14:textId="187113DC" w:rsidR="00AB1588" w:rsidRDefault="00AB1588">
            <w:pPr>
              <w:pStyle w:val="TableRowCentered"/>
              <w:jc w:val="left"/>
            </w:pPr>
            <w:r>
              <w:t>White Rose</w:t>
            </w:r>
          </w:p>
        </w:tc>
      </w:tr>
    </w:tbl>
    <w:p w14:paraId="2A7D5553" w14:textId="77777777" w:rsidR="00E66558" w:rsidRDefault="009D71E8">
      <w:pPr>
        <w:pStyle w:val="Heading2"/>
        <w:spacing w:before="600"/>
      </w:pPr>
      <w:r>
        <w:lastRenderedPageBreak/>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F" w14:textId="4C297DD1"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44DB449" w:rsidR="005E28A4" w:rsidRDefault="009D71E8">
    <w:pPr>
      <w:pStyle w:val="Footer"/>
      <w:ind w:firstLine="4513"/>
    </w:pPr>
    <w:r>
      <w:fldChar w:fldCharType="begin"/>
    </w:r>
    <w:r>
      <w:instrText xml:space="preserve"> PAGE </w:instrText>
    </w:r>
    <w:r>
      <w:fldChar w:fldCharType="separate"/>
    </w:r>
    <w:r w:rsidR="001F4037">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AE"/>
    <w:multiLevelType w:val="hybridMultilevel"/>
    <w:tmpl w:val="D7A69B8A"/>
    <w:lvl w:ilvl="0" w:tplc="4B101A06">
      <w:start w:val="1"/>
      <w:numFmt w:val="bullet"/>
      <w:pStyle w:val="7Tablecopybulleted"/>
      <w:lvlText w:val=""/>
      <w:lvlJc w:val="left"/>
      <w:pPr>
        <w:ind w:left="595"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8C6B67"/>
    <w:multiLevelType w:val="hybridMultilevel"/>
    <w:tmpl w:val="8D84A1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2466B90"/>
    <w:multiLevelType w:val="hybridMultilevel"/>
    <w:tmpl w:val="5155CA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63DF7"/>
    <w:multiLevelType w:val="hybridMultilevel"/>
    <w:tmpl w:val="0AEE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1"/>
  </w:num>
  <w:num w:numId="6">
    <w:abstractNumId w:val="9"/>
  </w:num>
  <w:num w:numId="7">
    <w:abstractNumId w:val="12"/>
  </w:num>
  <w:num w:numId="8">
    <w:abstractNumId w:val="16"/>
  </w:num>
  <w:num w:numId="9">
    <w:abstractNumId w:val="14"/>
  </w:num>
  <w:num w:numId="10">
    <w:abstractNumId w:val="13"/>
  </w:num>
  <w:num w:numId="11">
    <w:abstractNumId w:val="4"/>
  </w:num>
  <w:num w:numId="12">
    <w:abstractNumId w:val="15"/>
  </w:num>
  <w:num w:numId="13">
    <w:abstractNumId w:val="11"/>
  </w:num>
  <w:num w:numId="14">
    <w:abstractNumId w:val="8"/>
  </w:num>
  <w:num w:numId="15">
    <w:abstractNumId w:val="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4506"/>
    <w:rsid w:val="00056334"/>
    <w:rsid w:val="00066B73"/>
    <w:rsid w:val="00084790"/>
    <w:rsid w:val="00120AB1"/>
    <w:rsid w:val="00144435"/>
    <w:rsid w:val="00164743"/>
    <w:rsid w:val="001B3D88"/>
    <w:rsid w:val="001F4037"/>
    <w:rsid w:val="001F7DBC"/>
    <w:rsid w:val="00212FCE"/>
    <w:rsid w:val="00231F7B"/>
    <w:rsid w:val="0025105B"/>
    <w:rsid w:val="00264368"/>
    <w:rsid w:val="002A2E23"/>
    <w:rsid w:val="002A54D0"/>
    <w:rsid w:val="002A70AA"/>
    <w:rsid w:val="00326674"/>
    <w:rsid w:val="003272DA"/>
    <w:rsid w:val="00333986"/>
    <w:rsid w:val="003470BB"/>
    <w:rsid w:val="003760BA"/>
    <w:rsid w:val="00385517"/>
    <w:rsid w:val="004044AA"/>
    <w:rsid w:val="00445241"/>
    <w:rsid w:val="00471675"/>
    <w:rsid w:val="004D6727"/>
    <w:rsid w:val="004F5BFF"/>
    <w:rsid w:val="0050370C"/>
    <w:rsid w:val="005254D4"/>
    <w:rsid w:val="00553890"/>
    <w:rsid w:val="005600E1"/>
    <w:rsid w:val="00580EF7"/>
    <w:rsid w:val="005D08B0"/>
    <w:rsid w:val="00633CE6"/>
    <w:rsid w:val="00640B69"/>
    <w:rsid w:val="006D2531"/>
    <w:rsid w:val="006D7BDE"/>
    <w:rsid w:val="006E7FB1"/>
    <w:rsid w:val="006F0A7E"/>
    <w:rsid w:val="00741B9E"/>
    <w:rsid w:val="00751116"/>
    <w:rsid w:val="00777FEC"/>
    <w:rsid w:val="00780C0D"/>
    <w:rsid w:val="007C2F04"/>
    <w:rsid w:val="00821CBD"/>
    <w:rsid w:val="00821FB4"/>
    <w:rsid w:val="0084579C"/>
    <w:rsid w:val="00880992"/>
    <w:rsid w:val="00892C59"/>
    <w:rsid w:val="008F79E8"/>
    <w:rsid w:val="00926EDC"/>
    <w:rsid w:val="0095222A"/>
    <w:rsid w:val="00954429"/>
    <w:rsid w:val="0098455C"/>
    <w:rsid w:val="009C409E"/>
    <w:rsid w:val="009D1BAF"/>
    <w:rsid w:val="009D71E8"/>
    <w:rsid w:val="00A54938"/>
    <w:rsid w:val="00A55EF0"/>
    <w:rsid w:val="00A85625"/>
    <w:rsid w:val="00AB0311"/>
    <w:rsid w:val="00AB1588"/>
    <w:rsid w:val="00AB17EE"/>
    <w:rsid w:val="00B03089"/>
    <w:rsid w:val="00BD30A8"/>
    <w:rsid w:val="00C22321"/>
    <w:rsid w:val="00C645A8"/>
    <w:rsid w:val="00CC042A"/>
    <w:rsid w:val="00CF6D7F"/>
    <w:rsid w:val="00D05880"/>
    <w:rsid w:val="00D2317C"/>
    <w:rsid w:val="00D33FE5"/>
    <w:rsid w:val="00D90698"/>
    <w:rsid w:val="00D935DA"/>
    <w:rsid w:val="00DB0CA2"/>
    <w:rsid w:val="00DD540E"/>
    <w:rsid w:val="00E1772B"/>
    <w:rsid w:val="00E53F51"/>
    <w:rsid w:val="00E66558"/>
    <w:rsid w:val="00E721B8"/>
    <w:rsid w:val="00F5578B"/>
    <w:rsid w:val="00FA7DA8"/>
    <w:rsid w:val="00FF0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95222A"/>
    <w:pPr>
      <w:autoSpaceDE w:val="0"/>
      <w:adjustRightInd w:val="0"/>
    </w:pPr>
    <w:rPr>
      <w:rFonts w:cs="Arial"/>
      <w:color w:val="000000"/>
      <w:sz w:val="24"/>
      <w:szCs w:val="24"/>
    </w:rPr>
  </w:style>
  <w:style w:type="paragraph" w:customStyle="1" w:styleId="7Tablecopybulleted">
    <w:name w:val="7 Table copy bulleted"/>
    <w:basedOn w:val="Normal"/>
    <w:qFormat/>
    <w:rsid w:val="002A2E23"/>
    <w:pPr>
      <w:numPr>
        <w:numId w:val="16"/>
      </w:numPr>
      <w:suppressAutoHyphens w:val="0"/>
      <w:autoSpaceDN/>
      <w:spacing w:after="60" w:line="240" w:lineRule="auto"/>
    </w:pPr>
    <w:rPr>
      <w:rFonts w:eastAsia="MS Mincho"/>
      <w:color w:val="auto"/>
      <w:sz w:val="20"/>
      <w:lang w:val="en-US" w:eastAsia="en-US"/>
    </w:rPr>
  </w:style>
  <w:style w:type="table" w:styleId="TableGrid">
    <w:name w:val="Table Grid"/>
    <w:basedOn w:val="TableNormal"/>
    <w:uiPriority w:val="39"/>
    <w:rsid w:val="0052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2138</Words>
  <Characters>12188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Jennifer Butler</cp:lastModifiedBy>
  <cp:revision>2</cp:revision>
  <cp:lastPrinted>2014-09-17T13:26:00Z</cp:lastPrinted>
  <dcterms:created xsi:type="dcterms:W3CDTF">2024-11-05T13:46:00Z</dcterms:created>
  <dcterms:modified xsi:type="dcterms:W3CDTF">2024-11-05T13:46:00Z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